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81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5"/>
        <w:gridCol w:w="277"/>
        <w:gridCol w:w="370"/>
        <w:gridCol w:w="890"/>
        <w:gridCol w:w="414"/>
        <w:gridCol w:w="155"/>
        <w:gridCol w:w="14"/>
        <w:gridCol w:w="173"/>
        <w:gridCol w:w="383"/>
        <w:gridCol w:w="554"/>
        <w:gridCol w:w="16"/>
        <w:gridCol w:w="269"/>
        <w:gridCol w:w="300"/>
        <w:gridCol w:w="148"/>
        <w:gridCol w:w="205"/>
        <w:gridCol w:w="220"/>
        <w:gridCol w:w="569"/>
        <w:gridCol w:w="78"/>
        <w:gridCol w:w="71"/>
        <w:gridCol w:w="421"/>
        <w:gridCol w:w="111"/>
        <w:gridCol w:w="405"/>
        <w:gridCol w:w="53"/>
        <w:gridCol w:w="570"/>
        <w:gridCol w:w="315"/>
        <w:gridCol w:w="255"/>
        <w:gridCol w:w="570"/>
        <w:gridCol w:w="113"/>
        <w:gridCol w:w="1424"/>
        <w:gridCol w:w="10"/>
        <w:gridCol w:w="7227"/>
      </w:tblGrid>
      <w:tr w:rsidR="005715B5" w:rsidRPr="0003605B" w14:paraId="6E0080B0" w14:textId="77777777" w:rsidTr="009C3613">
        <w:trPr>
          <w:gridAfter w:val="2"/>
          <w:wAfter w:w="7237" w:type="dxa"/>
          <w:trHeight w:val="1611"/>
        </w:trPr>
        <w:tc>
          <w:tcPr>
            <w:tcW w:w="6630" w:type="dxa"/>
            <w:gridSpan w:val="18"/>
          </w:tcPr>
          <w:p w14:paraId="66668B22" w14:textId="77777777" w:rsidR="005715B5" w:rsidRPr="0003605B" w:rsidRDefault="005715B5" w:rsidP="0003605B">
            <w:pPr>
              <w:spacing w:line="240" w:lineRule="auto"/>
              <w:ind w:left="-82"/>
              <w:rPr>
                <w:rFonts w:ascii="Times New Roman" w:hAnsi="Times New Roman"/>
                <w:color w:val="000000"/>
              </w:rPr>
            </w:pPr>
            <w:bookmarkStart w:id="0" w:name="t1"/>
            <w:r w:rsidRPr="0003605B">
              <w:rPr>
                <w:rFonts w:ascii="Times New Roman" w:hAnsi="Times New Roman"/>
                <w:b/>
                <w:color w:val="000000"/>
              </w:rPr>
              <w:t>Nazwa projektu:</w:t>
            </w:r>
          </w:p>
          <w:p w14:paraId="00958167" w14:textId="0B590F76" w:rsidR="00882E9D" w:rsidRPr="0003605B" w:rsidRDefault="005715B5" w:rsidP="0003605B">
            <w:pPr>
              <w:pStyle w:val="TYTUAKTUprzedmiotregulacjiustawylubrozporzdzenia"/>
              <w:spacing w:before="0" w:after="0" w:line="240" w:lineRule="auto"/>
              <w:ind w:left="-82"/>
              <w:jc w:val="both"/>
              <w:rPr>
                <w:rFonts w:ascii="Times New Roman" w:hAnsi="Times New Roman" w:cs="Times New Roman"/>
                <w:b w:val="0"/>
                <w:bCs w:val="0"/>
                <w:sz w:val="22"/>
                <w:szCs w:val="22"/>
              </w:rPr>
            </w:pPr>
            <w:r w:rsidRPr="0003605B">
              <w:rPr>
                <w:rFonts w:ascii="Times New Roman" w:hAnsi="Times New Roman" w:cs="Times New Roman"/>
                <w:b w:val="0"/>
                <w:bCs w:val="0"/>
                <w:sz w:val="22"/>
                <w:szCs w:val="22"/>
              </w:rPr>
              <w:t xml:space="preserve">Projekt </w:t>
            </w:r>
            <w:r w:rsidR="00B20388" w:rsidRPr="0003605B">
              <w:rPr>
                <w:rFonts w:ascii="Times New Roman" w:hAnsi="Times New Roman" w:cs="Times New Roman"/>
                <w:b w:val="0"/>
                <w:bCs w:val="0"/>
                <w:sz w:val="22"/>
                <w:szCs w:val="22"/>
              </w:rPr>
              <w:t xml:space="preserve">rozporządzenia Ministra Sprawiedliwości </w:t>
            </w:r>
            <w:bookmarkStart w:id="1" w:name="_Hlk54681182"/>
            <w:r w:rsidR="007E2260" w:rsidRPr="0003605B">
              <w:rPr>
                <w:rFonts w:ascii="Times New Roman" w:hAnsi="Times New Roman" w:cs="Times New Roman"/>
                <w:b w:val="0"/>
                <w:bCs w:val="0"/>
                <w:sz w:val="22"/>
                <w:szCs w:val="22"/>
              </w:rPr>
              <w:t>w sprawie sposobu zamieszczania oraz przetwarzania danych w Krajowym Rejestrze Zadłużonych</w:t>
            </w:r>
            <w:bookmarkEnd w:id="1"/>
          </w:p>
          <w:p w14:paraId="6B1A314C" w14:textId="3F8A03D8" w:rsidR="005715B5" w:rsidRPr="0003605B" w:rsidRDefault="005715B5" w:rsidP="0003605B">
            <w:pPr>
              <w:spacing w:line="240" w:lineRule="auto"/>
              <w:ind w:left="-82"/>
              <w:jc w:val="both"/>
              <w:rPr>
                <w:rFonts w:ascii="Times New Roman" w:hAnsi="Times New Roman"/>
                <w:color w:val="000000"/>
              </w:rPr>
            </w:pPr>
          </w:p>
          <w:p w14:paraId="66E224F9" w14:textId="77777777" w:rsidR="005715B5" w:rsidRPr="0003605B" w:rsidRDefault="005715B5" w:rsidP="0003605B">
            <w:pPr>
              <w:spacing w:line="240" w:lineRule="auto"/>
              <w:ind w:left="-82"/>
              <w:rPr>
                <w:rFonts w:ascii="Times New Roman" w:hAnsi="Times New Roman"/>
                <w:b/>
                <w:color w:val="000000"/>
              </w:rPr>
            </w:pPr>
            <w:r w:rsidRPr="0003605B">
              <w:rPr>
                <w:rFonts w:ascii="Times New Roman" w:hAnsi="Times New Roman"/>
                <w:b/>
                <w:color w:val="000000"/>
              </w:rPr>
              <w:t>Organ odpowiedzialny Ministerstwo wiodące i ministerstwa współpracujące:</w:t>
            </w:r>
          </w:p>
          <w:bookmarkEnd w:id="0"/>
          <w:p w14:paraId="0CB141BF" w14:textId="77777777" w:rsidR="005715B5" w:rsidRPr="0003605B" w:rsidRDefault="005715B5" w:rsidP="0003605B">
            <w:pPr>
              <w:spacing w:line="240" w:lineRule="auto"/>
              <w:ind w:left="-82"/>
              <w:rPr>
                <w:rFonts w:ascii="Times New Roman" w:hAnsi="Times New Roman"/>
                <w:color w:val="000000"/>
              </w:rPr>
            </w:pPr>
            <w:r w:rsidRPr="0003605B">
              <w:rPr>
                <w:rFonts w:ascii="Times New Roman" w:hAnsi="Times New Roman"/>
                <w:color w:val="000000"/>
              </w:rPr>
              <w:t>Ministerstwo Sprawiedliwości</w:t>
            </w:r>
          </w:p>
          <w:p w14:paraId="0733F556" w14:textId="77777777" w:rsidR="005715B5" w:rsidRPr="0003605B" w:rsidRDefault="005715B5" w:rsidP="0003605B">
            <w:pPr>
              <w:spacing w:line="240" w:lineRule="auto"/>
              <w:ind w:left="-82"/>
              <w:rPr>
                <w:rFonts w:ascii="Times New Roman" w:hAnsi="Times New Roman"/>
                <w:b/>
              </w:rPr>
            </w:pPr>
            <w:r w:rsidRPr="0003605B">
              <w:rPr>
                <w:rFonts w:ascii="Times New Roman" w:hAnsi="Times New Roman"/>
                <w:b/>
              </w:rPr>
              <w:t xml:space="preserve"> </w:t>
            </w:r>
          </w:p>
          <w:p w14:paraId="6F579983" w14:textId="77777777" w:rsidR="005715B5" w:rsidRPr="0003605B" w:rsidRDefault="005715B5" w:rsidP="0003605B">
            <w:pPr>
              <w:spacing w:line="240" w:lineRule="auto"/>
              <w:ind w:left="-82"/>
              <w:rPr>
                <w:rFonts w:ascii="Times New Roman" w:hAnsi="Times New Roman"/>
                <w:b/>
              </w:rPr>
            </w:pPr>
            <w:r w:rsidRPr="0003605B">
              <w:rPr>
                <w:rFonts w:ascii="Times New Roman" w:hAnsi="Times New Roman"/>
                <w:b/>
              </w:rPr>
              <w:t>Osoba odpowiedzialna za projekt w randze Ministra, Sekretarza Stanu lub Podsekretarza Stanu:</w:t>
            </w:r>
          </w:p>
          <w:p w14:paraId="522FB4D0" w14:textId="3017279F" w:rsidR="0002759C" w:rsidRPr="0003605B" w:rsidRDefault="00EB0366" w:rsidP="0003605B">
            <w:pPr>
              <w:spacing w:line="240" w:lineRule="auto"/>
              <w:ind w:left="-82"/>
              <w:rPr>
                <w:rFonts w:ascii="Times New Roman" w:hAnsi="Times New Roman"/>
                <w:color w:val="000000"/>
              </w:rPr>
            </w:pPr>
            <w:r w:rsidRPr="0003605B">
              <w:rPr>
                <w:rFonts w:ascii="Times New Roman" w:hAnsi="Times New Roman"/>
                <w:color w:val="000000"/>
              </w:rPr>
              <w:t>Katarzyna Frydrych</w:t>
            </w:r>
            <w:r w:rsidR="0002759C" w:rsidRPr="0003605B">
              <w:rPr>
                <w:rFonts w:ascii="Times New Roman" w:hAnsi="Times New Roman"/>
                <w:color w:val="000000"/>
              </w:rPr>
              <w:t xml:space="preserve">, </w:t>
            </w:r>
            <w:r w:rsidR="007E2260" w:rsidRPr="0003605B">
              <w:rPr>
                <w:rFonts w:ascii="Times New Roman" w:hAnsi="Times New Roman"/>
                <w:color w:val="000000"/>
              </w:rPr>
              <w:t>Pod</w:t>
            </w:r>
            <w:r w:rsidR="009F30DF" w:rsidRPr="0003605B">
              <w:rPr>
                <w:rFonts w:ascii="Times New Roman" w:hAnsi="Times New Roman"/>
                <w:color w:val="000000"/>
              </w:rPr>
              <w:t>s</w:t>
            </w:r>
            <w:r w:rsidR="0002759C" w:rsidRPr="0003605B">
              <w:rPr>
                <w:rFonts w:ascii="Times New Roman" w:hAnsi="Times New Roman"/>
                <w:color w:val="000000"/>
              </w:rPr>
              <w:t xml:space="preserve">ekretarz Stanu </w:t>
            </w:r>
          </w:p>
          <w:p w14:paraId="0D7F71DF" w14:textId="77777777" w:rsidR="005715B5" w:rsidRPr="0003605B" w:rsidRDefault="005715B5" w:rsidP="0003605B">
            <w:pPr>
              <w:spacing w:line="240" w:lineRule="auto"/>
              <w:ind w:left="-82"/>
              <w:rPr>
                <w:rFonts w:ascii="Times New Roman" w:hAnsi="Times New Roman"/>
              </w:rPr>
            </w:pPr>
          </w:p>
          <w:p w14:paraId="6D4036CD" w14:textId="77777777" w:rsidR="005715B5" w:rsidRPr="0003605B" w:rsidRDefault="005715B5" w:rsidP="0003605B">
            <w:pPr>
              <w:spacing w:line="240" w:lineRule="auto"/>
              <w:ind w:left="-82"/>
              <w:rPr>
                <w:rFonts w:ascii="Times New Roman" w:hAnsi="Times New Roman"/>
                <w:b/>
                <w:color w:val="000000"/>
              </w:rPr>
            </w:pPr>
            <w:r w:rsidRPr="0003605B">
              <w:rPr>
                <w:rFonts w:ascii="Times New Roman" w:hAnsi="Times New Roman"/>
                <w:b/>
                <w:color w:val="000000"/>
              </w:rPr>
              <w:t>Kontakt do opiekuna merytorycznego projektu:</w:t>
            </w:r>
          </w:p>
          <w:p w14:paraId="3CE82276" w14:textId="77777777" w:rsidR="00D92117" w:rsidRPr="0003605B" w:rsidRDefault="0002759C" w:rsidP="0003605B">
            <w:pPr>
              <w:spacing w:line="240" w:lineRule="auto"/>
              <w:ind w:left="-82"/>
              <w:rPr>
                <w:rFonts w:ascii="Times New Roman" w:hAnsi="Times New Roman"/>
                <w:color w:val="000000"/>
              </w:rPr>
            </w:pPr>
            <w:r w:rsidRPr="0003605B">
              <w:rPr>
                <w:rFonts w:ascii="Times New Roman" w:hAnsi="Times New Roman"/>
                <w:color w:val="000000"/>
              </w:rPr>
              <w:t xml:space="preserve">Referent sprawy: </w:t>
            </w:r>
          </w:p>
          <w:p w14:paraId="6D3FCC3F" w14:textId="77777777" w:rsidR="00D92117" w:rsidRPr="0003605B" w:rsidRDefault="00D92117" w:rsidP="0003605B">
            <w:pPr>
              <w:spacing w:line="240" w:lineRule="auto"/>
              <w:ind w:left="-82"/>
              <w:jc w:val="both"/>
              <w:rPr>
                <w:rFonts w:ascii="Times New Roman" w:hAnsi="Times New Roman"/>
                <w:color w:val="000000"/>
              </w:rPr>
            </w:pPr>
            <w:r w:rsidRPr="0003605B">
              <w:rPr>
                <w:rFonts w:ascii="Times New Roman" w:hAnsi="Times New Roman"/>
                <w:color w:val="000000"/>
              </w:rPr>
              <w:t>d</w:t>
            </w:r>
            <w:r w:rsidR="007E2260" w:rsidRPr="0003605B">
              <w:rPr>
                <w:rFonts w:ascii="Times New Roman" w:hAnsi="Times New Roman"/>
                <w:color w:val="000000"/>
              </w:rPr>
              <w:t xml:space="preserve">r </w:t>
            </w:r>
            <w:r w:rsidR="00B20388" w:rsidRPr="0003605B">
              <w:rPr>
                <w:rFonts w:ascii="Times New Roman" w:hAnsi="Times New Roman"/>
                <w:color w:val="000000"/>
              </w:rPr>
              <w:t>Przemysław Wołowski</w:t>
            </w:r>
            <w:r w:rsidR="0002759C" w:rsidRPr="0003605B">
              <w:rPr>
                <w:rFonts w:ascii="Times New Roman" w:hAnsi="Times New Roman"/>
                <w:color w:val="000000"/>
              </w:rPr>
              <w:t xml:space="preserve">, główny specjalista </w:t>
            </w:r>
            <w:r w:rsidR="00B20388" w:rsidRPr="0003605B">
              <w:rPr>
                <w:rFonts w:ascii="Times New Roman" w:hAnsi="Times New Roman"/>
                <w:color w:val="000000"/>
              </w:rPr>
              <w:t>–</w:t>
            </w:r>
            <w:r w:rsidR="0002759C" w:rsidRPr="0003605B">
              <w:rPr>
                <w:rFonts w:ascii="Times New Roman" w:hAnsi="Times New Roman"/>
                <w:color w:val="000000"/>
              </w:rPr>
              <w:t xml:space="preserve"> </w:t>
            </w:r>
            <w:r w:rsidR="009F30DF" w:rsidRPr="0003605B">
              <w:rPr>
                <w:rFonts w:ascii="Times New Roman" w:hAnsi="Times New Roman"/>
                <w:color w:val="000000"/>
              </w:rPr>
              <w:t xml:space="preserve">starszy </w:t>
            </w:r>
            <w:r w:rsidR="00B20388" w:rsidRPr="0003605B">
              <w:rPr>
                <w:rFonts w:ascii="Times New Roman" w:hAnsi="Times New Roman"/>
                <w:color w:val="000000"/>
              </w:rPr>
              <w:t>referendarz sądowy</w:t>
            </w:r>
            <w:r w:rsidR="0002759C" w:rsidRPr="0003605B">
              <w:rPr>
                <w:rFonts w:ascii="Times New Roman" w:hAnsi="Times New Roman"/>
                <w:color w:val="000000"/>
              </w:rPr>
              <w:t xml:space="preserve"> w Departamencie </w:t>
            </w:r>
            <w:r w:rsidR="00B20388" w:rsidRPr="0003605B">
              <w:rPr>
                <w:rFonts w:ascii="Times New Roman" w:hAnsi="Times New Roman"/>
                <w:color w:val="000000"/>
              </w:rPr>
              <w:t>Legislacyjnym Prawa Cywilnego</w:t>
            </w:r>
            <w:r w:rsidR="0002759C" w:rsidRPr="0003605B">
              <w:rPr>
                <w:rFonts w:ascii="Times New Roman" w:hAnsi="Times New Roman"/>
                <w:color w:val="000000"/>
              </w:rPr>
              <w:t xml:space="preserve">, </w:t>
            </w:r>
          </w:p>
          <w:p w14:paraId="5383388E" w14:textId="668A933F" w:rsidR="005715B5" w:rsidRPr="0003605B" w:rsidRDefault="0002759C" w:rsidP="0003605B">
            <w:pPr>
              <w:spacing w:line="240" w:lineRule="auto"/>
              <w:ind w:left="-82"/>
              <w:jc w:val="both"/>
              <w:rPr>
                <w:rFonts w:ascii="Times New Roman" w:hAnsi="Times New Roman"/>
                <w:color w:val="000000"/>
              </w:rPr>
            </w:pPr>
            <w:r w:rsidRPr="0003605B">
              <w:rPr>
                <w:rFonts w:ascii="Times New Roman" w:hAnsi="Times New Roman"/>
                <w:color w:val="000000"/>
              </w:rPr>
              <w:t xml:space="preserve">tel. </w:t>
            </w:r>
            <w:r w:rsidR="00B20388" w:rsidRPr="0003605B">
              <w:rPr>
                <w:rFonts w:ascii="Times New Roman" w:hAnsi="Times New Roman"/>
                <w:color w:val="000000"/>
              </w:rPr>
              <w:t>39</w:t>
            </w:r>
            <w:r w:rsidRPr="0003605B">
              <w:rPr>
                <w:rFonts w:ascii="Times New Roman" w:hAnsi="Times New Roman"/>
                <w:color w:val="000000"/>
              </w:rPr>
              <w:t xml:space="preserve"> </w:t>
            </w:r>
            <w:r w:rsidR="00B20388" w:rsidRPr="0003605B">
              <w:rPr>
                <w:rFonts w:ascii="Times New Roman" w:hAnsi="Times New Roman"/>
                <w:color w:val="000000"/>
              </w:rPr>
              <w:t>76 595</w:t>
            </w:r>
            <w:r w:rsidRPr="0003605B">
              <w:rPr>
                <w:rFonts w:ascii="Times New Roman" w:hAnsi="Times New Roman"/>
                <w:color w:val="000000"/>
              </w:rPr>
              <w:t xml:space="preserve">, </w:t>
            </w:r>
            <w:r w:rsidR="00B20388" w:rsidRPr="0003605B">
              <w:rPr>
                <w:rFonts w:ascii="Times New Roman" w:hAnsi="Times New Roman"/>
                <w:color w:val="000000"/>
              </w:rPr>
              <w:t>przemyslaw.wolowski</w:t>
            </w:r>
            <w:r w:rsidRPr="0003605B">
              <w:rPr>
                <w:rFonts w:ascii="Times New Roman" w:hAnsi="Times New Roman"/>
                <w:color w:val="000000"/>
              </w:rPr>
              <w:t>@ms.gov.pl</w:t>
            </w:r>
          </w:p>
        </w:tc>
        <w:tc>
          <w:tcPr>
            <w:tcW w:w="4308" w:type="dxa"/>
            <w:gridSpan w:val="11"/>
            <w:shd w:val="clear" w:color="auto" w:fill="FFFFFF"/>
          </w:tcPr>
          <w:p w14:paraId="6C1D7095" w14:textId="56E6C38C" w:rsidR="005715B5" w:rsidRPr="0003605B" w:rsidRDefault="005715B5" w:rsidP="0003605B">
            <w:pPr>
              <w:spacing w:line="240" w:lineRule="auto"/>
              <w:rPr>
                <w:rFonts w:ascii="Times New Roman" w:hAnsi="Times New Roman"/>
                <w:b/>
              </w:rPr>
            </w:pPr>
            <w:r w:rsidRPr="0003605B">
              <w:rPr>
                <w:rFonts w:ascii="Times New Roman" w:hAnsi="Times New Roman"/>
                <w:b/>
              </w:rPr>
              <w:t>Data sporządzenia</w:t>
            </w:r>
            <w:r w:rsidRPr="0003605B">
              <w:rPr>
                <w:rFonts w:ascii="Times New Roman" w:hAnsi="Times New Roman"/>
                <w:b/>
              </w:rPr>
              <w:br/>
            </w:r>
            <w:r w:rsidR="002C5547" w:rsidRPr="0003605B">
              <w:rPr>
                <w:rFonts w:ascii="Times New Roman" w:hAnsi="Times New Roman"/>
              </w:rPr>
              <w:t>26.10</w:t>
            </w:r>
            <w:r w:rsidR="007879BB" w:rsidRPr="0003605B">
              <w:rPr>
                <w:rFonts w:ascii="Times New Roman" w:hAnsi="Times New Roman"/>
              </w:rPr>
              <w:t>.202</w:t>
            </w:r>
            <w:r w:rsidR="00956E08" w:rsidRPr="0003605B">
              <w:rPr>
                <w:rFonts w:ascii="Times New Roman" w:hAnsi="Times New Roman"/>
              </w:rPr>
              <w:t>1</w:t>
            </w:r>
            <w:r w:rsidR="007879BB" w:rsidRPr="0003605B">
              <w:rPr>
                <w:rFonts w:ascii="Times New Roman" w:hAnsi="Times New Roman"/>
              </w:rPr>
              <w:t xml:space="preserve"> r.</w:t>
            </w:r>
          </w:p>
          <w:p w14:paraId="4074EB88" w14:textId="77777777" w:rsidR="005715B5" w:rsidRPr="0003605B" w:rsidRDefault="005715B5" w:rsidP="0003605B">
            <w:pPr>
              <w:spacing w:line="240" w:lineRule="auto"/>
              <w:rPr>
                <w:rFonts w:ascii="Times New Roman" w:hAnsi="Times New Roman"/>
                <w:b/>
              </w:rPr>
            </w:pPr>
          </w:p>
          <w:p w14:paraId="607C8D5B" w14:textId="77777777" w:rsidR="005715B5" w:rsidRPr="0003605B" w:rsidRDefault="005715B5" w:rsidP="0003605B">
            <w:pPr>
              <w:spacing w:line="240" w:lineRule="auto"/>
              <w:rPr>
                <w:rFonts w:ascii="Times New Roman" w:hAnsi="Times New Roman"/>
                <w:b/>
              </w:rPr>
            </w:pPr>
          </w:p>
          <w:p w14:paraId="2547CACE" w14:textId="77777777" w:rsidR="005715B5" w:rsidRPr="0003605B" w:rsidRDefault="005715B5" w:rsidP="0003605B">
            <w:pPr>
              <w:spacing w:line="240" w:lineRule="auto"/>
              <w:rPr>
                <w:rFonts w:ascii="Times New Roman" w:hAnsi="Times New Roman"/>
                <w:b/>
              </w:rPr>
            </w:pPr>
            <w:r w:rsidRPr="0003605B">
              <w:rPr>
                <w:rFonts w:ascii="Times New Roman" w:hAnsi="Times New Roman"/>
                <w:b/>
              </w:rPr>
              <w:t xml:space="preserve">Źródło: </w:t>
            </w:r>
            <w:bookmarkStart w:id="2" w:name="Lista1"/>
          </w:p>
          <w:p w14:paraId="6FC493F4" w14:textId="7AAE590C" w:rsidR="005715B5" w:rsidRPr="0003605B" w:rsidRDefault="00B20388" w:rsidP="0003605B">
            <w:pPr>
              <w:spacing w:line="240" w:lineRule="auto"/>
              <w:jc w:val="both"/>
              <w:rPr>
                <w:rStyle w:val="FontStyle37"/>
              </w:rPr>
            </w:pPr>
            <w:r w:rsidRPr="0003605B">
              <w:rPr>
                <w:rStyle w:val="FontStyle37"/>
              </w:rPr>
              <w:t>art. 13 ustawy z dnia 6 grudnia 2018 r. o Krajowym Rejestrze Zadłużonych (Dz. U. z 2019 r. poz. 55, 912, 1214 i 1802 oraz Dz. U. z 2020 r. poz. 1747</w:t>
            </w:r>
            <w:r w:rsidR="00EB0366" w:rsidRPr="0003605B">
              <w:rPr>
                <w:rStyle w:val="FontStyle37"/>
              </w:rPr>
              <w:t>, oraz DZ. U. z 2021 r. poz. 1080</w:t>
            </w:r>
            <w:r w:rsidRPr="0003605B">
              <w:rPr>
                <w:rStyle w:val="FontStyle37"/>
              </w:rPr>
              <w:t>)</w:t>
            </w:r>
          </w:p>
          <w:p w14:paraId="11234A87" w14:textId="77777777" w:rsidR="00B20388" w:rsidRPr="0003605B" w:rsidRDefault="00B20388" w:rsidP="0003605B">
            <w:pPr>
              <w:spacing w:line="240" w:lineRule="auto"/>
              <w:jc w:val="both"/>
              <w:rPr>
                <w:rFonts w:ascii="Times New Roman" w:hAnsi="Times New Roman"/>
                <w:b/>
              </w:rPr>
            </w:pPr>
          </w:p>
          <w:bookmarkEnd w:id="2"/>
          <w:p w14:paraId="636CE1AA" w14:textId="77777777" w:rsidR="005715B5" w:rsidRPr="0003605B" w:rsidRDefault="005715B5" w:rsidP="0003605B">
            <w:pPr>
              <w:spacing w:line="240" w:lineRule="auto"/>
              <w:rPr>
                <w:rFonts w:ascii="Times New Roman" w:hAnsi="Times New Roman"/>
                <w:b/>
                <w:color w:val="000000"/>
              </w:rPr>
            </w:pPr>
            <w:r w:rsidRPr="0003605B">
              <w:rPr>
                <w:rFonts w:ascii="Times New Roman" w:hAnsi="Times New Roman"/>
                <w:b/>
                <w:color w:val="000000"/>
              </w:rPr>
              <w:t xml:space="preserve">Nr w wykazie prac: </w:t>
            </w:r>
          </w:p>
          <w:p w14:paraId="7A1E0DB3" w14:textId="0012D42E" w:rsidR="005715B5" w:rsidRPr="0003605B" w:rsidRDefault="009F30DF" w:rsidP="0003605B">
            <w:pPr>
              <w:spacing w:line="240" w:lineRule="auto"/>
              <w:rPr>
                <w:rFonts w:ascii="Times New Roman" w:hAnsi="Times New Roman"/>
                <w:color w:val="000000"/>
              </w:rPr>
            </w:pPr>
            <w:r w:rsidRPr="0003605B">
              <w:rPr>
                <w:rFonts w:ascii="Times New Roman" w:hAnsi="Times New Roman"/>
                <w:color w:val="000000"/>
              </w:rPr>
              <w:t>A425</w:t>
            </w:r>
          </w:p>
        </w:tc>
      </w:tr>
      <w:tr w:rsidR="005715B5" w:rsidRPr="0003605B" w14:paraId="0C7662FC" w14:textId="77777777" w:rsidTr="009C3613">
        <w:trPr>
          <w:gridAfter w:val="2"/>
          <w:wAfter w:w="7237" w:type="dxa"/>
          <w:trHeight w:val="142"/>
        </w:trPr>
        <w:tc>
          <w:tcPr>
            <w:tcW w:w="10938" w:type="dxa"/>
            <w:gridSpan w:val="29"/>
            <w:shd w:val="clear" w:color="auto" w:fill="99CCFF"/>
          </w:tcPr>
          <w:p w14:paraId="2455D919" w14:textId="77777777" w:rsidR="005715B5" w:rsidRPr="0003605B" w:rsidRDefault="005715B5" w:rsidP="0003605B">
            <w:pPr>
              <w:spacing w:line="240" w:lineRule="auto"/>
              <w:ind w:left="57"/>
              <w:jc w:val="center"/>
              <w:rPr>
                <w:rFonts w:ascii="Times New Roman" w:hAnsi="Times New Roman"/>
                <w:b/>
                <w:color w:val="FFFFFF"/>
              </w:rPr>
            </w:pPr>
            <w:r w:rsidRPr="0003605B">
              <w:rPr>
                <w:rFonts w:ascii="Times New Roman" w:hAnsi="Times New Roman"/>
                <w:b/>
                <w:color w:val="FFFFFF"/>
              </w:rPr>
              <w:t>OCENA SKUTKÓW REGULACJI</w:t>
            </w:r>
          </w:p>
        </w:tc>
      </w:tr>
      <w:tr w:rsidR="005715B5" w:rsidRPr="0003605B" w14:paraId="48E3B322" w14:textId="77777777" w:rsidTr="009C3613">
        <w:trPr>
          <w:gridAfter w:val="2"/>
          <w:wAfter w:w="7237" w:type="dxa"/>
          <w:trHeight w:val="333"/>
        </w:trPr>
        <w:tc>
          <w:tcPr>
            <w:tcW w:w="10938" w:type="dxa"/>
            <w:gridSpan w:val="29"/>
            <w:shd w:val="clear" w:color="auto" w:fill="99CCFF"/>
            <w:vAlign w:val="center"/>
          </w:tcPr>
          <w:p w14:paraId="34C01B4A" w14:textId="77777777" w:rsidR="005715B5" w:rsidRPr="0003605B" w:rsidRDefault="005715B5" w:rsidP="0003605B">
            <w:pPr>
              <w:numPr>
                <w:ilvl w:val="0"/>
                <w:numId w:val="1"/>
              </w:numPr>
              <w:spacing w:before="60" w:after="60" w:line="240" w:lineRule="auto"/>
              <w:ind w:left="318" w:hanging="284"/>
              <w:jc w:val="both"/>
              <w:rPr>
                <w:rFonts w:ascii="Times New Roman" w:hAnsi="Times New Roman"/>
                <w:b/>
                <w:color w:val="000000"/>
              </w:rPr>
            </w:pPr>
            <w:r w:rsidRPr="0003605B">
              <w:rPr>
                <w:rFonts w:ascii="Times New Roman" w:hAnsi="Times New Roman"/>
                <w:b/>
              </w:rPr>
              <w:t>Jaki problem jest rozwiązywany?</w:t>
            </w:r>
            <w:bookmarkStart w:id="3" w:name="Wybór1"/>
            <w:bookmarkEnd w:id="3"/>
          </w:p>
        </w:tc>
      </w:tr>
      <w:tr w:rsidR="005715B5" w:rsidRPr="0003605B" w14:paraId="2FFD8671" w14:textId="77777777" w:rsidTr="009C3613">
        <w:trPr>
          <w:gridAfter w:val="2"/>
          <w:wAfter w:w="7237" w:type="dxa"/>
          <w:trHeight w:val="142"/>
        </w:trPr>
        <w:tc>
          <w:tcPr>
            <w:tcW w:w="10938" w:type="dxa"/>
            <w:gridSpan w:val="29"/>
            <w:shd w:val="clear" w:color="auto" w:fill="FFFFFF"/>
          </w:tcPr>
          <w:p w14:paraId="0309F4B5" w14:textId="6701C999" w:rsidR="001E58BE" w:rsidRPr="0003605B" w:rsidRDefault="00A0575A" w:rsidP="0003605B">
            <w:pPr>
              <w:autoSpaceDE w:val="0"/>
              <w:autoSpaceDN w:val="0"/>
              <w:adjustRightInd w:val="0"/>
              <w:spacing w:line="240" w:lineRule="auto"/>
              <w:jc w:val="both"/>
              <w:rPr>
                <w:rFonts w:ascii="Times New Roman" w:eastAsiaTheme="minorHAnsi" w:hAnsi="Times New Roman"/>
              </w:rPr>
            </w:pPr>
            <w:r w:rsidRPr="0003605B">
              <w:rPr>
                <w:rFonts w:ascii="Times New Roman" w:eastAsiaTheme="minorHAnsi" w:hAnsi="Times New Roman"/>
              </w:rPr>
              <w:t xml:space="preserve">Podjęcie prac legislacyjnych w przedmiotowym obszarze wynika z </w:t>
            </w:r>
            <w:r w:rsidR="00962713" w:rsidRPr="0003605B">
              <w:rPr>
                <w:rFonts w:ascii="Times New Roman" w:eastAsiaTheme="minorHAnsi" w:hAnsi="Times New Roman"/>
              </w:rPr>
              <w:t>art. 13 ustawy z dnia 6 grudnia 2018 r. o Krajowym Rejestrze Zadłużonych</w:t>
            </w:r>
            <w:r w:rsidR="00962713" w:rsidRPr="0003605B">
              <w:rPr>
                <w:rStyle w:val="Odwoanieprzypisudolnego"/>
                <w:rFonts w:ascii="Times New Roman" w:eastAsiaTheme="minorHAnsi" w:hAnsi="Times New Roman"/>
              </w:rPr>
              <w:footnoteReference w:id="1"/>
            </w:r>
            <w:r w:rsidR="00962713" w:rsidRPr="0003605B">
              <w:rPr>
                <w:rFonts w:ascii="Times New Roman" w:eastAsiaTheme="minorHAnsi" w:hAnsi="Times New Roman"/>
              </w:rPr>
              <w:t xml:space="preserve">, zgodnie z którym Minister Sprawiedliwości jest zobowiązany do określenia, w drodze rozporządzenia, sposobu zamieszczania danych w Krajowym Rejestrze Zadłużonych oraz sposobu przetwarzania </w:t>
            </w:r>
            <w:r w:rsidR="00153804" w:rsidRPr="0003605B">
              <w:rPr>
                <w:rFonts w:ascii="Times New Roman" w:eastAsiaTheme="minorHAnsi" w:hAnsi="Times New Roman"/>
              </w:rPr>
              <w:br/>
            </w:r>
            <w:r w:rsidR="00962713" w:rsidRPr="0003605B">
              <w:rPr>
                <w:rFonts w:ascii="Times New Roman" w:eastAsiaTheme="minorHAnsi" w:hAnsi="Times New Roman"/>
              </w:rPr>
              <w:t>i ujawniania danych zawartych w Rejestrze, a także trybu i sposobu przetwarzania oraz przekazywania danych, mając na uwadze potrzebę zapewnienia czytelności oraz przejrzystości danych ujawnianych w Rejestrze, łatwość jego użytkowania oraz konieczność zapewnienia bezpieczeństwa przetwarzanych danych.</w:t>
            </w:r>
          </w:p>
        </w:tc>
      </w:tr>
      <w:tr w:rsidR="005715B5" w:rsidRPr="0003605B" w14:paraId="32B8C802" w14:textId="77777777" w:rsidTr="009C3613">
        <w:trPr>
          <w:gridAfter w:val="2"/>
          <w:wAfter w:w="7237" w:type="dxa"/>
          <w:trHeight w:val="70"/>
        </w:trPr>
        <w:tc>
          <w:tcPr>
            <w:tcW w:w="10938" w:type="dxa"/>
            <w:gridSpan w:val="29"/>
            <w:shd w:val="clear" w:color="auto" w:fill="99CCFF"/>
            <w:vAlign w:val="center"/>
          </w:tcPr>
          <w:p w14:paraId="2C1B69DB" w14:textId="77777777" w:rsidR="005715B5" w:rsidRPr="0003605B" w:rsidRDefault="005715B5" w:rsidP="0003605B">
            <w:pPr>
              <w:numPr>
                <w:ilvl w:val="0"/>
                <w:numId w:val="1"/>
              </w:numPr>
              <w:spacing w:before="60" w:after="60" w:line="240" w:lineRule="auto"/>
              <w:ind w:left="318" w:hanging="284"/>
              <w:jc w:val="both"/>
              <w:rPr>
                <w:rFonts w:ascii="Times New Roman" w:hAnsi="Times New Roman"/>
                <w:b/>
                <w:color w:val="000000"/>
              </w:rPr>
            </w:pPr>
            <w:r w:rsidRPr="0003605B">
              <w:rPr>
                <w:rFonts w:ascii="Times New Roman" w:hAnsi="Times New Roman"/>
                <w:b/>
                <w:color w:val="000000"/>
                <w:spacing w:val="-2"/>
              </w:rPr>
              <w:t xml:space="preserve">Rekomendowane rozwiązanie, w tym planowane narzędzia </w:t>
            </w:r>
            <w:proofErr w:type="gramStart"/>
            <w:r w:rsidRPr="0003605B">
              <w:rPr>
                <w:rFonts w:ascii="Times New Roman" w:hAnsi="Times New Roman"/>
                <w:b/>
                <w:color w:val="000000"/>
                <w:spacing w:val="-2"/>
              </w:rPr>
              <w:t>interwencji,</w:t>
            </w:r>
            <w:proofErr w:type="gramEnd"/>
            <w:r w:rsidRPr="0003605B">
              <w:rPr>
                <w:rFonts w:ascii="Times New Roman" w:hAnsi="Times New Roman"/>
                <w:b/>
                <w:color w:val="000000"/>
                <w:spacing w:val="-2"/>
              </w:rPr>
              <w:t xml:space="preserve"> i oczekiwany efekt</w:t>
            </w:r>
          </w:p>
        </w:tc>
      </w:tr>
      <w:tr w:rsidR="005715B5" w:rsidRPr="0003605B" w14:paraId="79111A66" w14:textId="77777777" w:rsidTr="009C3613">
        <w:trPr>
          <w:gridAfter w:val="2"/>
          <w:wAfter w:w="7237" w:type="dxa"/>
          <w:trHeight w:val="142"/>
        </w:trPr>
        <w:tc>
          <w:tcPr>
            <w:tcW w:w="10938" w:type="dxa"/>
            <w:gridSpan w:val="29"/>
            <w:shd w:val="clear" w:color="auto" w:fill="auto"/>
          </w:tcPr>
          <w:p w14:paraId="5F9E9EE0" w14:textId="469F12CF" w:rsidR="00BC7359" w:rsidRPr="0003605B" w:rsidRDefault="00B47142" w:rsidP="0003605B">
            <w:pPr>
              <w:autoSpaceDE w:val="0"/>
              <w:autoSpaceDN w:val="0"/>
              <w:adjustRightInd w:val="0"/>
              <w:spacing w:line="240" w:lineRule="auto"/>
              <w:jc w:val="both"/>
              <w:rPr>
                <w:rFonts w:ascii="Times New Roman" w:eastAsiaTheme="minorHAnsi" w:hAnsi="Times New Roman"/>
              </w:rPr>
            </w:pPr>
            <w:r w:rsidRPr="0003605B">
              <w:rPr>
                <w:rFonts w:ascii="Times New Roman" w:eastAsiaTheme="minorHAnsi" w:hAnsi="Times New Roman"/>
              </w:rPr>
              <w:t xml:space="preserve">Zakres rozporządzenia będzie obejmował sposób zamieszczania, przetwarzania i ujawniania danych zwartych w rejestrze oraz tryb i sposób przetwarzania oraz przekazywania danych zgromadzonych w rejestrze do celów statystycznych oraz badań naukowych. Dane będą zamieszczane w rejestrze za pośrednictwem systemu teleinformatycznego. Zgodnie z zasadą jawności, z danymi ujawnionymi w rejestrze będzie można zapoznać się na stronie internetowej Ministerstwa Sprawiedliwości. Dzięki temu </w:t>
            </w:r>
            <w:r w:rsidR="00D73E19" w:rsidRPr="0003605B">
              <w:rPr>
                <w:rFonts w:ascii="Times New Roman" w:eastAsiaTheme="minorHAnsi" w:hAnsi="Times New Roman"/>
              </w:rPr>
              <w:t>dostęp do danych będzie łatwy i pewny.</w:t>
            </w:r>
          </w:p>
          <w:p w14:paraId="5BEF8C63" w14:textId="20895D09" w:rsidR="00E23CDC" w:rsidRPr="0003605B" w:rsidRDefault="00E23CDC" w:rsidP="0003605B">
            <w:pPr>
              <w:autoSpaceDE w:val="0"/>
              <w:autoSpaceDN w:val="0"/>
              <w:adjustRightInd w:val="0"/>
              <w:spacing w:line="240" w:lineRule="auto"/>
              <w:jc w:val="both"/>
              <w:rPr>
                <w:rFonts w:ascii="Times New Roman" w:eastAsiaTheme="minorHAnsi" w:hAnsi="Times New Roman"/>
              </w:rPr>
            </w:pPr>
            <w:r w:rsidRPr="0003605B">
              <w:rPr>
                <w:rFonts w:ascii="Times New Roman" w:hAnsi="Times New Roman"/>
              </w:rPr>
              <w:t xml:space="preserve">W stosunku do </w:t>
            </w:r>
            <w:r w:rsidRPr="0003605B">
              <w:rPr>
                <w:rFonts w:ascii="Times New Roman" w:hAnsi="Times New Roman"/>
                <w:bCs/>
              </w:rPr>
              <w:t xml:space="preserve">osób fizycznych, które nie prowadzą działalności gospodarczej kryterium wyszukiwania </w:t>
            </w:r>
            <w:bookmarkStart w:id="4" w:name="_Hlk55546074"/>
            <w:r w:rsidRPr="0003605B">
              <w:rPr>
                <w:rFonts w:ascii="Times New Roman" w:hAnsi="Times New Roman"/>
                <w:bCs/>
              </w:rPr>
              <w:t xml:space="preserve">danych ujawnionych </w:t>
            </w:r>
            <w:bookmarkEnd w:id="4"/>
            <w:r w:rsidRPr="0003605B">
              <w:rPr>
                <w:rFonts w:ascii="Times New Roman" w:hAnsi="Times New Roman"/>
                <w:bCs/>
              </w:rPr>
              <w:t>w Rejestrze w zakresie postępowania upadłościowego, restrukturyzacyjnego oraz bezskuteczności egzekucji jest numer Powszechnego Elektronicznego Systemu Ewidencji Ludności (PESEL), numer identyfikacji podatkowej (NIP)</w:t>
            </w:r>
            <w:r w:rsidRPr="0003605B">
              <w:rPr>
                <w:rFonts w:ascii="Times New Roman" w:hAnsi="Times New Roman"/>
                <w:bCs/>
                <w:color w:val="FF0000"/>
              </w:rPr>
              <w:t xml:space="preserve"> </w:t>
            </w:r>
            <w:r w:rsidRPr="0003605B">
              <w:rPr>
                <w:rFonts w:ascii="Times New Roman" w:hAnsi="Times New Roman"/>
                <w:bCs/>
              </w:rPr>
              <w:t>albo sygnatura akt sprawy.</w:t>
            </w:r>
          </w:p>
          <w:p w14:paraId="0FE99074" w14:textId="4A9FCE85" w:rsidR="00E23CDC" w:rsidRPr="0003605B" w:rsidRDefault="00E23CDC" w:rsidP="0003605B">
            <w:pPr>
              <w:pStyle w:val="ARTartustawynprozporzdzenia"/>
              <w:spacing w:before="0" w:line="240" w:lineRule="auto"/>
              <w:ind w:firstLine="0"/>
              <w:rPr>
                <w:rFonts w:ascii="Times New Roman" w:hAnsi="Times New Roman" w:cs="Times New Roman"/>
                <w:bCs/>
                <w:sz w:val="22"/>
                <w:szCs w:val="22"/>
              </w:rPr>
            </w:pPr>
            <w:r w:rsidRPr="0003605B">
              <w:rPr>
                <w:rFonts w:ascii="Times New Roman" w:hAnsi="Times New Roman" w:cs="Times New Roman"/>
                <w:sz w:val="22"/>
                <w:szCs w:val="22"/>
              </w:rPr>
              <w:t xml:space="preserve">W stosunku do </w:t>
            </w:r>
            <w:r w:rsidRPr="0003605B">
              <w:rPr>
                <w:rFonts w:ascii="Times New Roman" w:hAnsi="Times New Roman" w:cs="Times New Roman"/>
                <w:bCs/>
                <w:sz w:val="22"/>
                <w:szCs w:val="22"/>
              </w:rPr>
              <w:t xml:space="preserve">osób fizycznych, które prowadzą działalność gospodarczą kryterium wyszukiwania danych ujawnionych w Rejestrze w zakresie postępowania upadłościowego, restrukturyzacyjnego oraz bezskuteczności egzekucji jest imię </w:t>
            </w:r>
            <w:r w:rsidR="00153804" w:rsidRPr="0003605B">
              <w:rPr>
                <w:rFonts w:ascii="Times New Roman" w:hAnsi="Times New Roman" w:cs="Times New Roman"/>
                <w:bCs/>
                <w:sz w:val="22"/>
                <w:szCs w:val="22"/>
              </w:rPr>
              <w:br/>
            </w:r>
            <w:r w:rsidRPr="0003605B">
              <w:rPr>
                <w:rFonts w:ascii="Times New Roman" w:hAnsi="Times New Roman" w:cs="Times New Roman"/>
                <w:bCs/>
                <w:sz w:val="22"/>
                <w:szCs w:val="22"/>
              </w:rPr>
              <w:t>i nazwisko, firma, numer PESEL, NIP</w:t>
            </w:r>
            <w:r w:rsidRPr="0003605B">
              <w:rPr>
                <w:rFonts w:ascii="Times New Roman" w:hAnsi="Times New Roman" w:cs="Times New Roman"/>
                <w:bCs/>
                <w:color w:val="FF0000"/>
                <w:sz w:val="22"/>
                <w:szCs w:val="22"/>
              </w:rPr>
              <w:t xml:space="preserve"> </w:t>
            </w:r>
            <w:r w:rsidRPr="0003605B">
              <w:rPr>
                <w:rFonts w:ascii="Times New Roman" w:hAnsi="Times New Roman" w:cs="Times New Roman"/>
                <w:bCs/>
                <w:sz w:val="22"/>
                <w:szCs w:val="22"/>
              </w:rPr>
              <w:t xml:space="preserve">albo sygnatura akt sprawy. </w:t>
            </w:r>
          </w:p>
          <w:p w14:paraId="7975B1ED" w14:textId="6FC29948" w:rsidR="00830FF0" w:rsidRPr="0003605B" w:rsidRDefault="00E23CDC" w:rsidP="0003605B">
            <w:pPr>
              <w:pStyle w:val="ARTartustawynprozporzdzenia"/>
              <w:spacing w:before="0" w:line="240" w:lineRule="auto"/>
              <w:ind w:firstLine="0"/>
              <w:rPr>
                <w:rFonts w:ascii="Times New Roman" w:hAnsi="Times New Roman" w:cs="Times New Roman"/>
                <w:bCs/>
                <w:sz w:val="22"/>
                <w:szCs w:val="22"/>
              </w:rPr>
            </w:pPr>
            <w:r w:rsidRPr="0003605B">
              <w:rPr>
                <w:rFonts w:ascii="Times New Roman" w:hAnsi="Times New Roman" w:cs="Times New Roman"/>
                <w:sz w:val="22"/>
                <w:szCs w:val="22"/>
              </w:rPr>
              <w:t>W stosunku do</w:t>
            </w:r>
            <w:r w:rsidRPr="0003605B">
              <w:rPr>
                <w:rFonts w:ascii="Times New Roman" w:hAnsi="Times New Roman" w:cs="Times New Roman"/>
                <w:bCs/>
                <w:sz w:val="22"/>
                <w:szCs w:val="22"/>
              </w:rPr>
              <w:t xml:space="preserve"> podmiotów niebędących osobami fizycznymi kryterium wyszukiwania danych ujawnionych w Rejestrze </w:t>
            </w:r>
            <w:r w:rsidR="00153804" w:rsidRPr="0003605B">
              <w:rPr>
                <w:rFonts w:ascii="Times New Roman" w:hAnsi="Times New Roman" w:cs="Times New Roman"/>
                <w:bCs/>
                <w:sz w:val="22"/>
                <w:szCs w:val="22"/>
              </w:rPr>
              <w:br/>
            </w:r>
            <w:r w:rsidRPr="0003605B">
              <w:rPr>
                <w:rFonts w:ascii="Times New Roman" w:hAnsi="Times New Roman" w:cs="Times New Roman"/>
                <w:bCs/>
                <w:sz w:val="22"/>
                <w:szCs w:val="22"/>
              </w:rPr>
              <w:t>w zakresie postępowania upadłościowego, restrukturyzacyjnego oraz bezskuteczności egzekucji jest nazwa lub firma, numer w Krajowym Rejestrze Sądowym (KRS), NIP albo sygnatura akt sprawy.</w:t>
            </w:r>
          </w:p>
          <w:p w14:paraId="2D451DB5" w14:textId="177F5E9D" w:rsidR="00F02CD8" w:rsidRPr="0003605B" w:rsidRDefault="00F02CD8" w:rsidP="0003605B">
            <w:pPr>
              <w:pStyle w:val="Akapitzlist"/>
              <w:suppressAutoHyphens/>
              <w:autoSpaceDE w:val="0"/>
              <w:autoSpaceDN w:val="0"/>
              <w:adjustRightInd w:val="0"/>
              <w:spacing w:after="0" w:line="240" w:lineRule="auto"/>
              <w:ind w:left="0"/>
              <w:contextualSpacing w:val="0"/>
              <w:jc w:val="both"/>
              <w:rPr>
                <w:rFonts w:ascii="Times New Roman" w:eastAsia="Times New Roman" w:hAnsi="Times New Roman" w:cs="Times New Roman"/>
                <w:bCs/>
                <w:iCs/>
                <w:lang w:eastAsia="pl-PL"/>
              </w:rPr>
            </w:pPr>
            <w:r w:rsidRPr="0003605B">
              <w:rPr>
                <w:rFonts w:ascii="Times New Roman" w:hAnsi="Times New Roman" w:cs="Times New Roman"/>
                <w:bCs/>
              </w:rPr>
              <w:t xml:space="preserve">Jeżeli dane zawarte w Rejestrze dotyczą składnika i stanu masy upadłości </w:t>
            </w:r>
            <w:r w:rsidRPr="0003605B">
              <w:rPr>
                <w:rFonts w:ascii="Times New Roman" w:eastAsia="Times New Roman" w:hAnsi="Times New Roman" w:cs="Times New Roman"/>
                <w:bCs/>
                <w:lang w:eastAsia="pl-PL"/>
              </w:rPr>
              <w:t xml:space="preserve">kryterium wyszukiwania </w:t>
            </w:r>
            <w:r w:rsidRPr="0003605B">
              <w:rPr>
                <w:rFonts w:ascii="Times New Roman" w:hAnsi="Times New Roman" w:cs="Times New Roman"/>
                <w:bCs/>
              </w:rPr>
              <w:t xml:space="preserve">zostało rozszerzone </w:t>
            </w:r>
            <w:r w:rsidR="00153804" w:rsidRPr="0003605B">
              <w:rPr>
                <w:rFonts w:ascii="Times New Roman" w:hAnsi="Times New Roman" w:cs="Times New Roman"/>
                <w:bCs/>
              </w:rPr>
              <w:br/>
            </w:r>
            <w:r w:rsidRPr="0003605B">
              <w:rPr>
                <w:rFonts w:ascii="Times New Roman" w:hAnsi="Times New Roman" w:cs="Times New Roman"/>
                <w:bCs/>
              </w:rPr>
              <w:t>o</w:t>
            </w:r>
            <w:r w:rsidRPr="0003605B">
              <w:rPr>
                <w:rFonts w:ascii="Times New Roman" w:eastAsia="Times New Roman" w:hAnsi="Times New Roman" w:cs="Times New Roman"/>
                <w:bCs/>
                <w:iCs/>
                <w:lang w:eastAsia="pl-PL"/>
              </w:rPr>
              <w:t xml:space="preserve"> typ składnika masy upadłości, część opisu bądź nazwy składnika masy upadłości, wartość oszacowania, status składnika masy upadłości, numer składnika masy upadłości ze spisu inwentarza</w:t>
            </w:r>
            <w:r w:rsidRPr="0003605B">
              <w:rPr>
                <w:rFonts w:ascii="Times New Roman" w:hAnsi="Times New Roman" w:cs="Times New Roman"/>
                <w:bCs/>
                <w:iCs/>
              </w:rPr>
              <w:t xml:space="preserve"> oraz </w:t>
            </w:r>
            <w:r w:rsidRPr="0003605B">
              <w:rPr>
                <w:rFonts w:ascii="Times New Roman" w:eastAsia="Times New Roman" w:hAnsi="Times New Roman" w:cs="Times New Roman"/>
                <w:bCs/>
                <w:iCs/>
                <w:lang w:eastAsia="pl-PL"/>
              </w:rPr>
              <w:t>wskazanie podmiotu pełniącego funkcję syndyka masy upadłości.</w:t>
            </w:r>
            <w:r w:rsidRPr="0003605B">
              <w:rPr>
                <w:rFonts w:ascii="Times New Roman" w:hAnsi="Times New Roman" w:cs="Times New Roman"/>
                <w:bCs/>
                <w:iCs/>
              </w:rPr>
              <w:t xml:space="preserve"> Powyższe rozwiązanie realizuje założenie ustawy w zakresie</w:t>
            </w:r>
            <w:r w:rsidRPr="0003605B">
              <w:rPr>
                <w:rFonts w:ascii="Times New Roman" w:hAnsi="Times New Roman" w:cs="Times New Roman"/>
              </w:rPr>
              <w:t xml:space="preserve"> transparentności zarządzania majątkiem upadłego oraz zwiększa efektywność sprzedaży prowadzonej przez syndyka masy upadłości, bowiem ustawa wprowadza rozwiązanie, zgodnie z którym, syndyk masy upadłości dokonując sprzedaży składników tej masy winien niezwłocznie ujawniać sprzedaż w Rejestrze. Oznacza to, że syndyk masy upadłości lub osoby, które na zlecenie jego zajmują się likwidacją masy upadłości powinny dokonując sprzedaży rejestrować fakt sprzedaży w Rejestrze. Obowiązek taki jest odzwierciedleniem na gruncie postępowania upadłościowego działań rynkowych systemów sprzedażowych, które opierają się na założeniu, że każdorazowy fakt sprzedaży jest odnotowywany w systemie magazynowym. Takie rozwiązanie pozwoli wierzycielom na bieżące śledzenie postępów likwidacji masy upadłości, a potencjalnym nabywcom zagwarantuje dostęp do zawsze aktualnych informacji o składnikach majątku przeznaczonych do sprzedaży.</w:t>
            </w:r>
          </w:p>
          <w:p w14:paraId="4F917FBF" w14:textId="0C5D5F77" w:rsidR="00F02CD8" w:rsidRPr="0003605B" w:rsidRDefault="00F02CD8" w:rsidP="0003605B">
            <w:pPr>
              <w:pStyle w:val="ARTartustawynprozporzdzenia"/>
              <w:spacing w:before="0" w:line="240" w:lineRule="auto"/>
              <w:ind w:firstLine="0"/>
              <w:rPr>
                <w:rFonts w:ascii="Times New Roman" w:hAnsi="Times New Roman" w:cs="Times New Roman"/>
                <w:sz w:val="22"/>
                <w:szCs w:val="22"/>
              </w:rPr>
            </w:pPr>
            <w:r w:rsidRPr="0003605B">
              <w:rPr>
                <w:rFonts w:ascii="Times New Roman" w:hAnsi="Times New Roman" w:cs="Times New Roman"/>
                <w:sz w:val="22"/>
                <w:szCs w:val="22"/>
              </w:rPr>
              <w:t xml:space="preserve">W stosunku do </w:t>
            </w:r>
            <w:r w:rsidRPr="0003605B">
              <w:rPr>
                <w:rFonts w:ascii="Times New Roman" w:hAnsi="Times New Roman" w:cs="Times New Roman"/>
                <w:bCs/>
                <w:sz w:val="22"/>
                <w:szCs w:val="22"/>
              </w:rPr>
              <w:t xml:space="preserve">osób fizycznych, które są dłużnikami alimentacyjnymi, kryterium wyszukiwania danych ujawnionych </w:t>
            </w:r>
            <w:r w:rsidR="00153804" w:rsidRPr="0003605B">
              <w:rPr>
                <w:rFonts w:ascii="Times New Roman" w:hAnsi="Times New Roman" w:cs="Times New Roman"/>
                <w:bCs/>
                <w:sz w:val="22"/>
                <w:szCs w:val="22"/>
              </w:rPr>
              <w:br/>
            </w:r>
            <w:r w:rsidRPr="0003605B">
              <w:rPr>
                <w:rFonts w:ascii="Times New Roman" w:hAnsi="Times New Roman" w:cs="Times New Roman"/>
                <w:bCs/>
                <w:sz w:val="22"/>
                <w:szCs w:val="22"/>
              </w:rPr>
              <w:t>w Rejestrze jest numer PESEL.</w:t>
            </w:r>
          </w:p>
          <w:p w14:paraId="1BDE97CF" w14:textId="75241512" w:rsidR="00F02CD8" w:rsidRPr="0003605B" w:rsidRDefault="00F02CD8" w:rsidP="0003605B">
            <w:pPr>
              <w:suppressAutoHyphens/>
              <w:autoSpaceDE w:val="0"/>
              <w:autoSpaceDN w:val="0"/>
              <w:adjustRightInd w:val="0"/>
              <w:spacing w:line="240" w:lineRule="auto"/>
              <w:jc w:val="both"/>
              <w:rPr>
                <w:rFonts w:ascii="Times New Roman" w:eastAsia="Times New Roman" w:hAnsi="Times New Roman"/>
                <w:bCs/>
                <w:lang w:eastAsia="pl-PL"/>
              </w:rPr>
            </w:pPr>
            <w:r w:rsidRPr="0003605B">
              <w:rPr>
                <w:rFonts w:ascii="Times New Roman" w:hAnsi="Times New Roman"/>
              </w:rPr>
              <w:t xml:space="preserve">Przyjęto również rozwiązanie, że w sytuacji </w:t>
            </w:r>
            <w:r w:rsidRPr="0003605B">
              <w:rPr>
                <w:rFonts w:ascii="Times New Roman" w:eastAsia="Times New Roman" w:hAnsi="Times New Roman"/>
                <w:bCs/>
                <w:lang w:eastAsia="pl-PL"/>
              </w:rPr>
              <w:t xml:space="preserve">braku numeru PESEL kryterium wyszukiwania (czyli inną daną umożliwiającą identyfikację osoby fizycznej, której dane zostały ujawnione w Rejestrze) </w:t>
            </w:r>
            <w:r w:rsidR="00EB0366" w:rsidRPr="0003605B">
              <w:rPr>
                <w:rFonts w:ascii="Times New Roman" w:eastAsia="Times New Roman" w:hAnsi="Times New Roman"/>
                <w:bCs/>
                <w:lang w:eastAsia="pl-PL"/>
              </w:rPr>
              <w:t xml:space="preserve">w szczególności </w:t>
            </w:r>
            <w:r w:rsidRPr="0003605B">
              <w:rPr>
                <w:rFonts w:ascii="Times New Roman" w:eastAsia="Times New Roman" w:hAnsi="Times New Roman"/>
                <w:bCs/>
                <w:lang w:eastAsia="pl-PL"/>
              </w:rPr>
              <w:t xml:space="preserve">jest numer paszportu </w:t>
            </w:r>
            <w:r w:rsidR="00153804" w:rsidRPr="0003605B">
              <w:rPr>
                <w:rFonts w:ascii="Times New Roman" w:eastAsia="Times New Roman" w:hAnsi="Times New Roman"/>
                <w:bCs/>
                <w:lang w:eastAsia="pl-PL"/>
              </w:rPr>
              <w:br/>
            </w:r>
            <w:r w:rsidRPr="0003605B">
              <w:rPr>
                <w:rFonts w:ascii="Times New Roman" w:eastAsia="Times New Roman" w:hAnsi="Times New Roman"/>
                <w:bCs/>
                <w:lang w:eastAsia="pl-PL"/>
              </w:rPr>
              <w:lastRenderedPageBreak/>
              <w:t xml:space="preserve">i oznaczenie państwa wystawiającego paszport albo numer karty pobytu w Rzeczypospolitej Polskiej albo zagraniczny numer identyfikacji lub identyfikacji podatkowej. Natomiast w stosunku do podmiotu niebędącego sobą fizyczną przyjęto rozwiązanie, że w przypadku braku numeru KRS kryterium wyszukiwania (czyli inną daną umożliwiającą identyfikację tego podmiotu, którego dane zostały ujawnione w Rejestrze) </w:t>
            </w:r>
            <w:r w:rsidR="00EB0366" w:rsidRPr="0003605B">
              <w:rPr>
                <w:rFonts w:ascii="Times New Roman" w:eastAsia="Times New Roman" w:hAnsi="Times New Roman"/>
                <w:bCs/>
                <w:lang w:eastAsia="pl-PL"/>
              </w:rPr>
              <w:t xml:space="preserve">w szczególności </w:t>
            </w:r>
            <w:r w:rsidRPr="0003605B">
              <w:rPr>
                <w:rFonts w:ascii="Times New Roman" w:eastAsia="Times New Roman" w:hAnsi="Times New Roman"/>
                <w:bCs/>
                <w:lang w:eastAsia="pl-PL"/>
              </w:rPr>
              <w:t>jest numer w zagranicznym rejestrze albo zagraniczny numer identyfikacji lub identyfikacji podatkowej.</w:t>
            </w:r>
          </w:p>
          <w:p w14:paraId="0A730ABF" w14:textId="5C83C811" w:rsidR="00830FF0" w:rsidRPr="0003605B" w:rsidRDefault="00906CDA" w:rsidP="0003605B">
            <w:pPr>
              <w:autoSpaceDE w:val="0"/>
              <w:autoSpaceDN w:val="0"/>
              <w:adjustRightInd w:val="0"/>
              <w:spacing w:line="240" w:lineRule="auto"/>
              <w:jc w:val="both"/>
              <w:rPr>
                <w:rFonts w:ascii="Times New Roman" w:eastAsiaTheme="minorHAnsi" w:hAnsi="Times New Roman"/>
              </w:rPr>
            </w:pPr>
            <w:r w:rsidRPr="0003605B">
              <w:rPr>
                <w:rFonts w:ascii="Times New Roman" w:eastAsiaTheme="minorHAnsi" w:hAnsi="Times New Roman"/>
              </w:rPr>
              <w:t>W rejestrze będą również zamieszczane obwieszczenia dotyczące informacji o postępowaniach upadłościowych oraz restrukturyzacyjnych.</w:t>
            </w:r>
          </w:p>
          <w:p w14:paraId="60FE7D8B" w14:textId="0A807B03" w:rsidR="00906CDA" w:rsidRPr="0003605B" w:rsidRDefault="00906CDA" w:rsidP="0003605B">
            <w:pPr>
              <w:autoSpaceDE w:val="0"/>
              <w:autoSpaceDN w:val="0"/>
              <w:adjustRightInd w:val="0"/>
              <w:spacing w:line="240" w:lineRule="auto"/>
              <w:jc w:val="both"/>
              <w:rPr>
                <w:rFonts w:ascii="Times New Roman" w:eastAsiaTheme="minorHAnsi" w:hAnsi="Times New Roman"/>
              </w:rPr>
            </w:pPr>
            <w:r w:rsidRPr="0003605B">
              <w:rPr>
                <w:rFonts w:ascii="Times New Roman" w:eastAsiaTheme="minorHAnsi" w:hAnsi="Times New Roman"/>
              </w:rPr>
              <w:t>Projekt rozporządzenia reguluje również tryb przekazywania danych</w:t>
            </w:r>
            <w:r w:rsidR="00F02CD8" w:rsidRPr="0003605B">
              <w:rPr>
                <w:rFonts w:ascii="Times New Roman" w:eastAsiaTheme="minorHAnsi" w:hAnsi="Times New Roman"/>
              </w:rPr>
              <w:t>,</w:t>
            </w:r>
            <w:r w:rsidR="00F02CD8" w:rsidRPr="0003605B">
              <w:rPr>
                <w:rFonts w:ascii="Times New Roman" w:hAnsi="Times New Roman"/>
              </w:rPr>
              <w:t xml:space="preserve"> których ujawniania zaprzestano</w:t>
            </w:r>
            <w:r w:rsidRPr="0003605B">
              <w:rPr>
                <w:rFonts w:ascii="Times New Roman" w:eastAsiaTheme="minorHAnsi" w:hAnsi="Times New Roman"/>
              </w:rPr>
              <w:t xml:space="preserve"> do badań naukowych oraz do celów statystycznych podmiotowi, który w ramach Ministerstwa Sprawiedliwości opracowuje dane w celu dalszego udostępnienia w celach statystycznych. Wniosek o przekazanie danych do badań naukowych będzie musiał zawierać zwięzły opis celów badawczych oraz programu badań, powody i zakres żądania danych wraz z uzasadnieniem oraz informacje umożliwiające wyszukanie żądanych danych w zbiorze.</w:t>
            </w:r>
          </w:p>
          <w:p w14:paraId="7DFBCFB8" w14:textId="77777777" w:rsidR="00883702" w:rsidRPr="0003605B" w:rsidRDefault="00883702" w:rsidP="0003605B">
            <w:pPr>
              <w:autoSpaceDE w:val="0"/>
              <w:autoSpaceDN w:val="0"/>
              <w:adjustRightInd w:val="0"/>
              <w:spacing w:line="240" w:lineRule="auto"/>
              <w:jc w:val="both"/>
              <w:rPr>
                <w:rFonts w:ascii="Times New Roman" w:eastAsiaTheme="minorHAnsi" w:hAnsi="Times New Roman"/>
              </w:rPr>
            </w:pPr>
          </w:p>
          <w:p w14:paraId="3F690BDE" w14:textId="15C12151" w:rsidR="00550000" w:rsidRPr="0003605B" w:rsidRDefault="00550000" w:rsidP="0003605B">
            <w:pPr>
              <w:pBdr>
                <w:top w:val="single" w:sz="4" w:space="1" w:color="auto"/>
                <w:bottom w:val="single" w:sz="4" w:space="1" w:color="auto"/>
              </w:pBdr>
              <w:autoSpaceDE w:val="0"/>
              <w:autoSpaceDN w:val="0"/>
              <w:adjustRightInd w:val="0"/>
              <w:spacing w:line="240" w:lineRule="auto"/>
              <w:jc w:val="center"/>
              <w:rPr>
                <w:rFonts w:ascii="Times New Roman" w:eastAsiaTheme="minorHAnsi" w:hAnsi="Times New Roman"/>
                <w:b/>
                <w:bCs/>
              </w:rPr>
            </w:pPr>
            <w:r w:rsidRPr="0003605B">
              <w:rPr>
                <w:rFonts w:ascii="Times New Roman" w:eastAsiaTheme="minorHAnsi" w:hAnsi="Times New Roman"/>
                <w:b/>
                <w:bCs/>
              </w:rPr>
              <w:t>DODATKOWE INFORMACJE WS. PRZETWARZANIA DANYCH OSOBOWYCH</w:t>
            </w:r>
          </w:p>
          <w:p w14:paraId="29A5E8ED" w14:textId="405CB76F" w:rsidR="00550000" w:rsidRPr="0003605B" w:rsidRDefault="00550000" w:rsidP="0003605B">
            <w:pPr>
              <w:autoSpaceDE w:val="0"/>
              <w:autoSpaceDN w:val="0"/>
              <w:adjustRightInd w:val="0"/>
              <w:spacing w:line="240" w:lineRule="auto"/>
              <w:jc w:val="both"/>
              <w:rPr>
                <w:rFonts w:ascii="Times New Roman" w:eastAsiaTheme="minorHAnsi" w:hAnsi="Times New Roman"/>
              </w:rPr>
            </w:pPr>
            <w:r w:rsidRPr="0003605B">
              <w:rPr>
                <w:rFonts w:ascii="Times New Roman" w:eastAsiaTheme="minorHAnsi" w:hAnsi="Times New Roman"/>
              </w:rPr>
              <w:t xml:space="preserve">Podstawą przetwarzania danych osobowych w Krajowym Rejestrze Zadłużonych stanowi art. 6 ust. 1 lit c) i e) RODO, </w:t>
            </w:r>
            <w:r w:rsidR="00883702" w:rsidRPr="0003605B">
              <w:rPr>
                <w:rFonts w:ascii="Times New Roman" w:eastAsiaTheme="minorHAnsi" w:hAnsi="Times New Roman"/>
              </w:rPr>
              <w:br/>
            </w:r>
            <w:r w:rsidRPr="0003605B">
              <w:rPr>
                <w:rFonts w:ascii="Times New Roman" w:eastAsiaTheme="minorHAnsi" w:hAnsi="Times New Roman"/>
              </w:rPr>
              <w:t>tj. przetwarzanie jest niezbędne do wypełnienia obowiązku prawnego ciążącego na administratorze oraz przetwarzanie jest niezbędne do wykonania zadania realizowanego w interesie publicznym lub w ramach sprawowania władzy publicznej powierzonej administratorowi. Podstawa przetwarzania, o której mowa w ust. 1 lit. c) i e), określona jest w ustawie z dnia 6 grudnia 2018 r. o Krajowym Rejestrze Zadłużonych. Oznacza to, że zakres danych osobowych podlegający ujawnieniu określony został w przepisach ww. ustawy.</w:t>
            </w:r>
          </w:p>
          <w:p w14:paraId="58A20BCC" w14:textId="77777777" w:rsidR="00550000" w:rsidRPr="0003605B" w:rsidRDefault="00550000" w:rsidP="0003605B">
            <w:pPr>
              <w:autoSpaceDE w:val="0"/>
              <w:autoSpaceDN w:val="0"/>
              <w:adjustRightInd w:val="0"/>
              <w:spacing w:line="240" w:lineRule="auto"/>
              <w:jc w:val="both"/>
              <w:rPr>
                <w:rFonts w:ascii="Times New Roman" w:eastAsiaTheme="minorHAnsi" w:hAnsi="Times New Roman"/>
              </w:rPr>
            </w:pPr>
            <w:r w:rsidRPr="0003605B">
              <w:rPr>
                <w:rFonts w:ascii="Times New Roman" w:eastAsiaTheme="minorHAnsi" w:hAnsi="Times New Roman"/>
              </w:rPr>
              <w:t xml:space="preserve">Artykuł 4 ww. ustawy określa, że Rejestr jest jawny i każdy ma prawo zapoznać się z danymi ujawnionymi w Rejestrze oraz danymi objętymi treścią </w:t>
            </w:r>
            <w:proofErr w:type="spellStart"/>
            <w:r w:rsidRPr="0003605B">
              <w:rPr>
                <w:rFonts w:ascii="Times New Roman" w:eastAsiaTheme="minorHAnsi" w:hAnsi="Times New Roman"/>
              </w:rPr>
              <w:t>obwieszczeń</w:t>
            </w:r>
            <w:proofErr w:type="spellEnd"/>
            <w:r w:rsidRPr="0003605B">
              <w:rPr>
                <w:rFonts w:ascii="Times New Roman" w:eastAsiaTheme="minorHAnsi" w:hAnsi="Times New Roman"/>
              </w:rPr>
              <w:t xml:space="preserve"> za pośrednictwem sieci Internet. Zgodnie z art. 5 przetwarzane dane osobowe obejmują numer Powszechnego Elektronicznego Systemu Ewidencji Ludności (PESEL) albo numer w Krajowym Rejestrze Sądowym, a w przypadku ich braku – inne dane umożliwiające jednoznaczną identyfikację, w szczególności numer paszportu i oznaczenie państwa wystawiającego paszport albo numer karty pobytu w Rzeczypospolitej Polskiej, albo numer w zagranicznym rejestrze, albo zagraniczny numer identyfikacji lub identyfikacji podatkowej.</w:t>
            </w:r>
          </w:p>
          <w:p w14:paraId="54BB48DC" w14:textId="3FF60540" w:rsidR="00550000" w:rsidRPr="0003605B" w:rsidRDefault="00550000" w:rsidP="0003605B">
            <w:pPr>
              <w:autoSpaceDE w:val="0"/>
              <w:autoSpaceDN w:val="0"/>
              <w:adjustRightInd w:val="0"/>
              <w:spacing w:line="240" w:lineRule="auto"/>
              <w:jc w:val="both"/>
              <w:rPr>
                <w:rFonts w:ascii="Times New Roman" w:eastAsiaTheme="minorHAnsi" w:hAnsi="Times New Roman"/>
              </w:rPr>
            </w:pPr>
            <w:r w:rsidRPr="0003605B">
              <w:rPr>
                <w:rFonts w:ascii="Times New Roman" w:eastAsiaTheme="minorHAnsi" w:hAnsi="Times New Roman"/>
              </w:rPr>
              <w:t xml:space="preserve">Budowa systemu KRZ realizowana była przede wszystkim z uwzględnieniem zasad wynikających z art. 25 RODO – Uwzględnianie ochrony danych w fazie projektowania oraz domyślna ochrona danych. Zasady te nakładają </w:t>
            </w:r>
            <w:r w:rsidR="00883702" w:rsidRPr="0003605B">
              <w:rPr>
                <w:rFonts w:ascii="Times New Roman" w:eastAsiaTheme="minorHAnsi" w:hAnsi="Times New Roman"/>
              </w:rPr>
              <w:br/>
            </w:r>
            <w:r w:rsidRPr="0003605B">
              <w:rPr>
                <w:rFonts w:ascii="Times New Roman" w:eastAsiaTheme="minorHAnsi" w:hAnsi="Times New Roman"/>
              </w:rPr>
              <w:t xml:space="preserve">na administratora obowiązek, aby – uwzględniając stan wiedzy technicznej, koszt wdrażania oraz charakter, zakres, kontekst i cele przetwarzania oraz ryzyko naruszenia praw lub wolności osób fizycznych o różnym prawdopodobieństwie wystąpienia i wadze zagrożenia wynikające z przetwarzania – wdrażał, zarówno przy określaniu sposobów przetwarzania, jak i w czasie samego przetwarzania, odpowiednie środki techniczne i organizacyjne, takie jak </w:t>
            </w:r>
            <w:proofErr w:type="spellStart"/>
            <w:r w:rsidRPr="0003605B">
              <w:rPr>
                <w:rFonts w:ascii="Times New Roman" w:eastAsiaTheme="minorHAnsi" w:hAnsi="Times New Roman"/>
              </w:rPr>
              <w:t>pseudonimizacja</w:t>
            </w:r>
            <w:proofErr w:type="spellEnd"/>
            <w:r w:rsidRPr="0003605B">
              <w:rPr>
                <w:rFonts w:ascii="Times New Roman" w:eastAsiaTheme="minorHAnsi" w:hAnsi="Times New Roman"/>
              </w:rPr>
              <w:t>, zaprojektowane w celu skutecznej realizacji zasad ochrony danych, takich jak minimalizacja danych, oraz w celu nadania przetwarzaniu niezbędnych zabezpieczeń, tak by spełnić wymogi niniejszego rozporządzenia oraz chronić prawa osób, których dane dotyczą. Wdrożone zostały również środki techniczne i organizacyjne, aby domyślnie przetwarzane były wyłącznie te dane osobowe, które są niezbędne dla osiągnięcia każdego konkretnego celu przetwarzania. Obowiązek ten odnosi się do ilości zbieranych danych osobowych, zakresu ich przetwarzania, okresu ich przechowywania oraz ich dostępności.</w:t>
            </w:r>
          </w:p>
          <w:p w14:paraId="13F9ABCA" w14:textId="77777777" w:rsidR="00550000" w:rsidRPr="0003605B" w:rsidRDefault="00550000" w:rsidP="0003605B">
            <w:pPr>
              <w:autoSpaceDE w:val="0"/>
              <w:autoSpaceDN w:val="0"/>
              <w:adjustRightInd w:val="0"/>
              <w:spacing w:line="240" w:lineRule="auto"/>
              <w:jc w:val="both"/>
              <w:rPr>
                <w:rFonts w:ascii="Times New Roman" w:eastAsiaTheme="minorHAnsi" w:hAnsi="Times New Roman"/>
              </w:rPr>
            </w:pPr>
            <w:r w:rsidRPr="0003605B">
              <w:rPr>
                <w:rFonts w:ascii="Times New Roman" w:eastAsiaTheme="minorHAnsi" w:hAnsi="Times New Roman"/>
              </w:rPr>
              <w:t>W szczególności środki te zapewniają, by domyślnie dane osobowe nie były udostępniane bez interwencji danej osoby nieokreślonej liczbie osób fizycznych.</w:t>
            </w:r>
          </w:p>
          <w:p w14:paraId="37816E2F" w14:textId="5C343F9D" w:rsidR="00550000" w:rsidRPr="0003605B" w:rsidRDefault="00550000" w:rsidP="0003605B">
            <w:pPr>
              <w:autoSpaceDE w:val="0"/>
              <w:autoSpaceDN w:val="0"/>
              <w:adjustRightInd w:val="0"/>
              <w:spacing w:line="240" w:lineRule="auto"/>
              <w:jc w:val="both"/>
              <w:rPr>
                <w:rFonts w:ascii="Times New Roman" w:eastAsiaTheme="minorHAnsi" w:hAnsi="Times New Roman"/>
                <w:b/>
                <w:bCs/>
              </w:rPr>
            </w:pPr>
            <w:r w:rsidRPr="0003605B">
              <w:rPr>
                <w:rFonts w:ascii="Times New Roman" w:eastAsiaTheme="minorHAnsi" w:hAnsi="Times New Roman"/>
                <w:b/>
                <w:bCs/>
              </w:rPr>
              <w:t xml:space="preserve">Realizacja powyższych wymagań ma zastosowanie również w projekcie rozporządzenia Ministra Sprawiedliwości </w:t>
            </w:r>
            <w:r w:rsidR="00883702" w:rsidRPr="0003605B">
              <w:rPr>
                <w:rFonts w:ascii="Times New Roman" w:eastAsiaTheme="minorHAnsi" w:hAnsi="Times New Roman"/>
                <w:b/>
                <w:bCs/>
              </w:rPr>
              <w:br/>
            </w:r>
            <w:r w:rsidRPr="0003605B">
              <w:rPr>
                <w:rFonts w:ascii="Times New Roman" w:eastAsiaTheme="minorHAnsi" w:hAnsi="Times New Roman"/>
                <w:b/>
                <w:bCs/>
              </w:rPr>
              <w:t>w sprawie sposobu zamieszczania oraz przetwarzania danych w Krajowym Rejestrze Zadłużonych, w którym ograniczono zakres przetwarzania danych w związku z dalszym celem przetwarzania danych do badań statystycznych i naukowych</w:t>
            </w:r>
            <w:r w:rsidR="004867DB" w:rsidRPr="0003605B">
              <w:rPr>
                <w:rFonts w:ascii="Times New Roman" w:eastAsiaTheme="minorHAnsi" w:hAnsi="Times New Roman"/>
                <w:b/>
                <w:bCs/>
              </w:rPr>
              <w:t>.</w:t>
            </w:r>
          </w:p>
          <w:p w14:paraId="200301AE" w14:textId="0F94B315" w:rsidR="004867DB" w:rsidRPr="0003605B" w:rsidRDefault="004867DB" w:rsidP="0003605B">
            <w:pPr>
              <w:autoSpaceDE w:val="0"/>
              <w:autoSpaceDN w:val="0"/>
              <w:adjustRightInd w:val="0"/>
              <w:spacing w:line="240" w:lineRule="auto"/>
              <w:jc w:val="both"/>
              <w:rPr>
                <w:rFonts w:ascii="Times New Roman" w:eastAsiaTheme="minorHAnsi" w:hAnsi="Times New Roman"/>
              </w:rPr>
            </w:pPr>
            <w:r w:rsidRPr="0003605B">
              <w:rPr>
                <w:rFonts w:ascii="Times New Roman" w:eastAsiaTheme="minorHAnsi" w:hAnsi="Times New Roman"/>
              </w:rPr>
              <w:t xml:space="preserve">Powyższe zasady realizowane były od początku tworzenia Rejestru. </w:t>
            </w:r>
            <w:r w:rsidR="00153804" w:rsidRPr="0003605B">
              <w:rPr>
                <w:rFonts w:ascii="Times New Roman" w:eastAsiaTheme="minorHAnsi" w:hAnsi="Times New Roman"/>
              </w:rPr>
              <w:t>D</w:t>
            </w:r>
            <w:r w:rsidRPr="0003605B">
              <w:rPr>
                <w:rFonts w:ascii="Times New Roman" w:eastAsiaTheme="minorHAnsi" w:hAnsi="Times New Roman"/>
              </w:rPr>
              <w:t xml:space="preserve">okumenty dotyczące projektu KRZ </w:t>
            </w:r>
            <w:r w:rsidR="00883702" w:rsidRPr="0003605B">
              <w:rPr>
                <w:rFonts w:ascii="Times New Roman" w:eastAsiaTheme="minorHAnsi" w:hAnsi="Times New Roman"/>
              </w:rPr>
              <w:br/>
            </w:r>
            <w:r w:rsidRPr="0003605B">
              <w:rPr>
                <w:rFonts w:ascii="Times New Roman" w:eastAsiaTheme="minorHAnsi" w:hAnsi="Times New Roman"/>
              </w:rPr>
              <w:t xml:space="preserve">oraz prowadzonego postępowania (OPZ, SIWZ) od początku projektowania systemu uwzględniały wymagania RODO </w:t>
            </w:r>
            <w:r w:rsidR="00883702" w:rsidRPr="0003605B">
              <w:rPr>
                <w:rFonts w:ascii="Times New Roman" w:eastAsiaTheme="minorHAnsi" w:hAnsi="Times New Roman"/>
              </w:rPr>
              <w:br/>
            </w:r>
            <w:r w:rsidRPr="0003605B">
              <w:rPr>
                <w:rFonts w:ascii="Times New Roman" w:eastAsiaTheme="minorHAnsi" w:hAnsi="Times New Roman"/>
              </w:rPr>
              <w:t xml:space="preserve">w zakresie wdrożenia odpowiednich środków technicznych i organizacyjnych stosownie do realizacji wymagania wynikającego z art. 5 ust. 1 lit f) RODO f), zgodnie z którym przetwarzane w sposób zapewniający odpowiednie bezpieczeństwo danych osobowych, w tym ochronę przed niedozwolonym lub niezgodnym z prawem przetwarzaniem oraz przypadkową utratą, zniszczeniem lub uszkodzeniem, za pomocą odpowiednich środków technicznych </w:t>
            </w:r>
            <w:r w:rsidR="00883702" w:rsidRPr="0003605B">
              <w:rPr>
                <w:rFonts w:ascii="Times New Roman" w:eastAsiaTheme="minorHAnsi" w:hAnsi="Times New Roman"/>
              </w:rPr>
              <w:br/>
            </w:r>
            <w:r w:rsidRPr="0003605B">
              <w:rPr>
                <w:rFonts w:ascii="Times New Roman" w:eastAsiaTheme="minorHAnsi" w:hAnsi="Times New Roman"/>
              </w:rPr>
              <w:t>lub organizacyjnych.</w:t>
            </w:r>
          </w:p>
          <w:p w14:paraId="49BB30AC" w14:textId="77777777" w:rsidR="000C36C1" w:rsidRPr="0003605B" w:rsidRDefault="000C36C1" w:rsidP="0003605B">
            <w:pPr>
              <w:autoSpaceDE w:val="0"/>
              <w:autoSpaceDN w:val="0"/>
              <w:adjustRightInd w:val="0"/>
              <w:spacing w:line="240" w:lineRule="auto"/>
              <w:jc w:val="both"/>
              <w:rPr>
                <w:rFonts w:ascii="Times New Roman" w:eastAsiaTheme="minorHAnsi" w:hAnsi="Times New Roman"/>
              </w:rPr>
            </w:pPr>
          </w:p>
          <w:p w14:paraId="5203115E" w14:textId="77777777" w:rsidR="004867DB" w:rsidRPr="0003605B" w:rsidRDefault="004867DB" w:rsidP="0003605B">
            <w:pPr>
              <w:autoSpaceDE w:val="0"/>
              <w:autoSpaceDN w:val="0"/>
              <w:adjustRightInd w:val="0"/>
              <w:spacing w:line="240" w:lineRule="auto"/>
              <w:jc w:val="both"/>
              <w:rPr>
                <w:rFonts w:ascii="Times New Roman" w:eastAsiaTheme="minorHAnsi" w:hAnsi="Times New Roman"/>
                <w:u w:val="single"/>
              </w:rPr>
            </w:pPr>
            <w:r w:rsidRPr="0003605B">
              <w:rPr>
                <w:rFonts w:ascii="Times New Roman" w:eastAsiaTheme="minorHAnsi" w:hAnsi="Times New Roman"/>
              </w:rPr>
              <w:t xml:space="preserve">Prawidłowe określenie i wybór odpowiednich środków technicznych i organizacyjnych, służących realizacji zasad wynikających z art. 25, jak również wymagań art. 35 RODO – ocena skutków dla ochrony danych – </w:t>
            </w:r>
            <w:r w:rsidRPr="0003605B">
              <w:rPr>
                <w:rFonts w:ascii="Times New Roman" w:eastAsiaTheme="minorHAnsi" w:hAnsi="Times New Roman"/>
                <w:u w:val="single"/>
              </w:rPr>
              <w:t>było możliwe dzięki przeprowadzonej analizie ryzyka, w ramach której zidentyfikowano następujące ryzyka związane z przetwarzaniem danych osobowych w Krajowym Rejestrze Zadłużonych:</w:t>
            </w:r>
          </w:p>
          <w:p w14:paraId="3CE0DA76" w14:textId="7A4526C1"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wyciek danych z systemów teleinformatycznego,</w:t>
            </w:r>
          </w:p>
          <w:p w14:paraId="6F71147F" w14:textId="0F17511D"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zgubienie/wyrzucenie (bez zniszczenia) dokumentacji papierowej zawierającej dane osobowe,</w:t>
            </w:r>
          </w:p>
          <w:p w14:paraId="602C2C6B" w14:textId="71128E94"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przetwarzanie niekompletnych lub nieaktualnych danych,</w:t>
            </w:r>
          </w:p>
          <w:p w14:paraId="33B862A2" w14:textId="24464CA2"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zgubienie/kradzież nośników danych zawierających dane osobowe (służbowy laptop, pendrive),</w:t>
            </w:r>
          </w:p>
          <w:p w14:paraId="513B8FBC" w14:textId="75A0300F"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ujawnienie na stronie internetowej danych osobowych niepodlegających ujawnieniu/publikacji,</w:t>
            </w:r>
          </w:p>
          <w:p w14:paraId="033EADDA" w14:textId="25640FE6"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lastRenderedPageBreak/>
              <w:t>przekazanie danych osobowych innym podmiotom, bez zawarcia umowy powierzenia przetwarzania danych osobowych,</w:t>
            </w:r>
          </w:p>
          <w:p w14:paraId="1E087631" w14:textId="2EC1811A"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przetwarzanie danych osobowych bez wydanego upoważnienia do przetwarzania danych osobowych,</w:t>
            </w:r>
          </w:p>
          <w:p w14:paraId="45AAFD6F" w14:textId="77749E7F"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ujawnienie danych podmiotom nieuprawnionym,</w:t>
            </w:r>
          </w:p>
          <w:p w14:paraId="4BC957AD" w14:textId="7B2B819D"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skorzystanie z cudzego identyfikatora i hasła,</w:t>
            </w:r>
          </w:p>
          <w:p w14:paraId="06356536" w14:textId="7A5824E5"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podglądanie zawartości ekranu monitora przez użytkowników z innych komputerów,</w:t>
            </w:r>
          </w:p>
          <w:p w14:paraId="49788888" w14:textId="6E7084E0"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niezabezpieczenie dokumentacji papierowej po zakończeniu pracy,</w:t>
            </w:r>
          </w:p>
          <w:p w14:paraId="301AA0EC" w14:textId="3B8A45CC"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wyłudzenie, fałszowanie dokumentów,</w:t>
            </w:r>
          </w:p>
          <w:p w14:paraId="089C5D92" w14:textId="6F839B8C"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nieuprawnione wejście pracowników/osób trzecich do stref chronionych,</w:t>
            </w:r>
          </w:p>
          <w:p w14:paraId="71BE69BA" w14:textId="6E33A964"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ujawnienie przez pracowników danych osobowych osobom nieuprawnionym.</w:t>
            </w:r>
          </w:p>
          <w:p w14:paraId="3FA7D9C5" w14:textId="332522E1"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brak właściwych podstaw prawnych przetwarzania danych osobowych, w tym (w wymaganych przypadkach) zgody osoby, której dane dotyczą,</w:t>
            </w:r>
          </w:p>
          <w:p w14:paraId="255A201A" w14:textId="1B56295A"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niewypełnienie obowiązków informacyjnych (art. 12–14 RODO),</w:t>
            </w:r>
          </w:p>
          <w:p w14:paraId="0D8E4E81" w14:textId="5976BE02"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zbyt szeroki zakres przetwarzanych danych,</w:t>
            </w:r>
          </w:p>
          <w:p w14:paraId="1DD09AAF" w14:textId="0A6980F6"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brak możliwości wypełnienia praw osób, których dane przetwarzane są w Ministerstwie wskazanych w art. 15–22 RODO,</w:t>
            </w:r>
          </w:p>
          <w:p w14:paraId="66CAF29B" w14:textId="5799E685"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przetwarzanie danych po wygaśnięciu celu przetwarzania,</w:t>
            </w:r>
          </w:p>
          <w:p w14:paraId="12CA05A5" w14:textId="33D6C675"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przetwarzanie danych niezgodnie z pierwotnym celem,</w:t>
            </w:r>
          </w:p>
          <w:p w14:paraId="2D83EC5F" w14:textId="77777777"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niezgłoszenie czynności przetwarzania/zbiorów danych do rejestru czynności przetwarzania danych,</w:t>
            </w:r>
          </w:p>
          <w:p w14:paraId="50057B45" w14:textId="52558374"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niezgłoszenie Inspektorowi ochrony danych incydentu w zakresie naruszenia zasad przetwarzania danych osobowych,</w:t>
            </w:r>
          </w:p>
          <w:p w14:paraId="0C621038" w14:textId="23ED459E"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niezgłoszenie, w wymaganych przypadkach, naruszenia zasad przetwarzania danych osobowych Prezesowi Urzędu Ochrony Danych Osobowych,</w:t>
            </w:r>
          </w:p>
          <w:p w14:paraId="2914EDAA" w14:textId="0DAA74FB"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kopiowanie dokumentów na prywatne nośniki danych,</w:t>
            </w:r>
          </w:p>
          <w:p w14:paraId="22EE6AE0" w14:textId="6541A4C7"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użycie służbowego sprzętu/oprogramowania w nieuprawniony sposób,</w:t>
            </w:r>
          </w:p>
          <w:p w14:paraId="2F86DE3B" w14:textId="2004E8BA"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brak możliwości rozliczania działań użytkowników w systemach teleinformatycznych,</w:t>
            </w:r>
          </w:p>
          <w:p w14:paraId="2BECADED" w14:textId="299EC63E"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awaria systemu teleinformatycznego skutkująca brakiem dostępności do danych osobowych,</w:t>
            </w:r>
          </w:p>
          <w:p w14:paraId="73A4D7CC" w14:textId="0939C14D"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 xml:space="preserve">niezastosowanie mechanizmu </w:t>
            </w:r>
            <w:proofErr w:type="spellStart"/>
            <w:r w:rsidRPr="0003605B">
              <w:rPr>
                <w:rFonts w:ascii="Times New Roman" w:hAnsi="Times New Roman" w:cs="Times New Roman"/>
              </w:rPr>
              <w:t>pseudonimizacji</w:t>
            </w:r>
            <w:proofErr w:type="spellEnd"/>
            <w:r w:rsidRPr="0003605B">
              <w:rPr>
                <w:rFonts w:ascii="Times New Roman" w:hAnsi="Times New Roman" w:cs="Times New Roman"/>
              </w:rPr>
              <w:t xml:space="preserve"> danych po ustaniu okresów przetwarzania wynikających </w:t>
            </w:r>
            <w:r w:rsidR="00883702" w:rsidRPr="0003605B">
              <w:rPr>
                <w:rFonts w:ascii="Times New Roman" w:hAnsi="Times New Roman" w:cs="Times New Roman"/>
              </w:rPr>
              <w:br/>
            </w:r>
            <w:r w:rsidRPr="0003605B">
              <w:rPr>
                <w:rFonts w:ascii="Times New Roman" w:hAnsi="Times New Roman" w:cs="Times New Roman"/>
              </w:rPr>
              <w:t>z przepisów,</w:t>
            </w:r>
          </w:p>
          <w:p w14:paraId="5A19C3E0" w14:textId="59952F6E"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zewnętrzne ataki na systemy teleinformatyczne (kradzież, nieuprawniona modyfikacja danych etc.),</w:t>
            </w:r>
          </w:p>
          <w:p w14:paraId="297C430A" w14:textId="76506387"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brak lub niewłaściwe wykonywanie kopii zapasowych,</w:t>
            </w:r>
          </w:p>
          <w:p w14:paraId="1F24A83B" w14:textId="7FDD2664"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brak właściwych zabezpieczeń serwerowni, awaria klimatyzacji, zasilania etc.,</w:t>
            </w:r>
          </w:p>
          <w:p w14:paraId="04F1F0E9" w14:textId="2D5244A1"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celowe działanie użytkowników systemów (np. nieuprawnione instalowanie oprogramowania, skopiowanie bazy danych, włamanie do systemu).</w:t>
            </w:r>
          </w:p>
          <w:p w14:paraId="1ACC85E5" w14:textId="66554748"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nieuprawnione zbieranie/gromadzenie danych osobowych zawierających szczególne kategorie danych,</w:t>
            </w:r>
          </w:p>
          <w:p w14:paraId="3DBD0312" w14:textId="0F1F6FDB"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 xml:space="preserve">niezastosowanie mechanizmów </w:t>
            </w:r>
            <w:proofErr w:type="spellStart"/>
            <w:r w:rsidRPr="0003605B">
              <w:rPr>
                <w:rFonts w:ascii="Times New Roman" w:hAnsi="Times New Roman" w:cs="Times New Roman"/>
              </w:rPr>
              <w:t>anonimizacji</w:t>
            </w:r>
            <w:proofErr w:type="spellEnd"/>
            <w:r w:rsidRPr="0003605B">
              <w:rPr>
                <w:rFonts w:ascii="Times New Roman" w:hAnsi="Times New Roman" w:cs="Times New Roman"/>
              </w:rPr>
              <w:t xml:space="preserve"> danych osobowych (np. przy udzielaniu odpowiedzi w trybie dostępu do informacji publicznej),</w:t>
            </w:r>
          </w:p>
          <w:p w14:paraId="07CEBD91" w14:textId="77777777" w:rsidR="004867DB" w:rsidRPr="0003605B" w:rsidRDefault="004867DB" w:rsidP="0003605B">
            <w:pPr>
              <w:pStyle w:val="Akapitzlist"/>
              <w:numPr>
                <w:ilvl w:val="0"/>
                <w:numId w:val="4"/>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wyciek danych/nieuprawnione przetwarzanie danych dotyczących naruszeń prawa.</w:t>
            </w:r>
          </w:p>
          <w:p w14:paraId="59F95516" w14:textId="3248A114" w:rsidR="004867DB" w:rsidRPr="0003605B" w:rsidRDefault="004867DB" w:rsidP="0003605B">
            <w:pPr>
              <w:autoSpaceDE w:val="0"/>
              <w:autoSpaceDN w:val="0"/>
              <w:adjustRightInd w:val="0"/>
              <w:spacing w:line="240" w:lineRule="auto"/>
              <w:jc w:val="both"/>
              <w:rPr>
                <w:rFonts w:ascii="Times New Roman" w:hAnsi="Times New Roman"/>
                <w:u w:val="single"/>
              </w:rPr>
            </w:pPr>
            <w:r w:rsidRPr="0003605B">
              <w:rPr>
                <w:rFonts w:ascii="Times New Roman" w:hAnsi="Times New Roman"/>
                <w:u w:val="single"/>
              </w:rPr>
              <w:t xml:space="preserve">Do zidentyfikowanych </w:t>
            </w:r>
            <w:proofErr w:type="spellStart"/>
            <w:r w:rsidRPr="0003605B">
              <w:rPr>
                <w:rFonts w:ascii="Times New Roman" w:hAnsi="Times New Roman"/>
                <w:u w:val="single"/>
              </w:rPr>
              <w:t>ryzyk</w:t>
            </w:r>
            <w:proofErr w:type="spellEnd"/>
            <w:r w:rsidRPr="0003605B">
              <w:rPr>
                <w:rFonts w:ascii="Times New Roman" w:hAnsi="Times New Roman"/>
                <w:u w:val="single"/>
              </w:rPr>
              <w:t xml:space="preserve"> przypisano następnie propozycje przeciwdziałania lub innej reakcji na ryzyko uwzględniając zarówno zabezpieczenia techniczne, jak i organizacyjne. </w:t>
            </w:r>
          </w:p>
          <w:p w14:paraId="27584C11" w14:textId="77777777" w:rsidR="000C36C1" w:rsidRPr="0003605B" w:rsidRDefault="000C36C1" w:rsidP="0003605B">
            <w:pPr>
              <w:autoSpaceDE w:val="0"/>
              <w:autoSpaceDN w:val="0"/>
              <w:adjustRightInd w:val="0"/>
              <w:spacing w:line="240" w:lineRule="auto"/>
              <w:jc w:val="both"/>
              <w:rPr>
                <w:rFonts w:ascii="Times New Roman" w:hAnsi="Times New Roman"/>
              </w:rPr>
            </w:pPr>
          </w:p>
          <w:p w14:paraId="1E19F956" w14:textId="657F269D" w:rsidR="004867DB" w:rsidRPr="0003605B" w:rsidRDefault="004867DB" w:rsidP="0003605B">
            <w:pPr>
              <w:autoSpaceDE w:val="0"/>
              <w:autoSpaceDN w:val="0"/>
              <w:adjustRightInd w:val="0"/>
              <w:spacing w:line="240" w:lineRule="auto"/>
              <w:jc w:val="both"/>
              <w:rPr>
                <w:rFonts w:ascii="Times New Roman" w:hAnsi="Times New Roman"/>
                <w:b/>
                <w:bCs/>
              </w:rPr>
            </w:pPr>
            <w:r w:rsidRPr="0003605B">
              <w:rPr>
                <w:rFonts w:ascii="Times New Roman" w:hAnsi="Times New Roman"/>
                <w:b/>
                <w:bCs/>
              </w:rPr>
              <w:t>W ramach zabezpieczeń technicznych wdrożono:</w:t>
            </w:r>
          </w:p>
          <w:p w14:paraId="7FE2123C" w14:textId="2E3C0F92"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Szyfrowanie komunikacji, w szczególności komunikacji prowadzonej via sieć Internet,</w:t>
            </w:r>
          </w:p>
          <w:p w14:paraId="1EE280A9" w14:textId="0AFCF762"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Proces testów bezpieczeństwa w tym testów penetracyjnych,</w:t>
            </w:r>
          </w:p>
          <w:p w14:paraId="726E866B" w14:textId="2AE78961"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Separacje sieci,</w:t>
            </w:r>
          </w:p>
          <w:p w14:paraId="1527AB76" w14:textId="5BC4B997"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Monitorowanie, audyt zdarzeń,</w:t>
            </w:r>
          </w:p>
          <w:p w14:paraId="2DE9999F" w14:textId="7BC0C891"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Okresowe przeglądy i audyty Systemu,</w:t>
            </w:r>
          </w:p>
          <w:p w14:paraId="75B734BC" w14:textId="4475DB91"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Ochrona przed złośliwym oprogramowaniem, system klasy EDR,</w:t>
            </w:r>
          </w:p>
          <w:p w14:paraId="106F178C" w14:textId="3267DEBD"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Proces zarządzania podatnościami, aktualizacja oprogramowania,</w:t>
            </w:r>
          </w:p>
          <w:p w14:paraId="10E70418" w14:textId="1F78AA00"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Separacja kont administracyjnych od kont użytkownika,</w:t>
            </w:r>
          </w:p>
          <w:p w14:paraId="0994C2F8" w14:textId="4113F379"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Możliwość aktualizacji metryk uczestników postępowania,</w:t>
            </w:r>
          </w:p>
          <w:p w14:paraId="2B086B0D" w14:textId="5B827885"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Możliwość weryfikacji danych w rejestrach urzędowych np. PESEL, KRS, CRP KEP,</w:t>
            </w:r>
          </w:p>
          <w:p w14:paraId="7779A413" w14:textId="4145F6DE"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Testy oprogramowania w zakresie zgodności ujawnianych danych na stronie z ustawą</w:t>
            </w:r>
            <w:r w:rsidR="000C36C1" w:rsidRPr="0003605B">
              <w:rPr>
                <w:rFonts w:ascii="Times New Roman" w:hAnsi="Times New Roman" w:cs="Times New Roman"/>
              </w:rPr>
              <w:t xml:space="preserve"> </w:t>
            </w:r>
            <w:r w:rsidRPr="0003605B">
              <w:rPr>
                <w:rFonts w:ascii="Times New Roman" w:hAnsi="Times New Roman" w:cs="Times New Roman"/>
              </w:rPr>
              <w:t>o KRZ,</w:t>
            </w:r>
          </w:p>
          <w:p w14:paraId="10987640" w14:textId="5AB8D239"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Testy bezpieczeństwa, w tym testy penetracyjne,</w:t>
            </w:r>
          </w:p>
          <w:p w14:paraId="43FD26C7" w14:textId="5A659D3B"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Oddzielenie kont administracyjnych od kont użytkownika,</w:t>
            </w:r>
          </w:p>
          <w:p w14:paraId="61C57C9A" w14:textId="123886BE"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Separacja danych publicznych od systemu prowadzenia postepowań,</w:t>
            </w:r>
          </w:p>
          <w:p w14:paraId="704A17C1" w14:textId="2B37CB66"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Uprawnienia statyczne, uprawnienie do danych, Cerber,</w:t>
            </w:r>
          </w:p>
          <w:p w14:paraId="354F851B" w14:textId="0E7CFD2A"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Użytkownik wewnętrzny – integracja z mechanizmami bezpieczeństwa AD w</w:t>
            </w:r>
            <w:r w:rsidR="000C36C1" w:rsidRPr="0003605B">
              <w:rPr>
                <w:rFonts w:ascii="Times New Roman" w:hAnsi="Times New Roman" w:cs="Times New Roman"/>
              </w:rPr>
              <w:t xml:space="preserve"> </w:t>
            </w:r>
            <w:r w:rsidRPr="0003605B">
              <w:rPr>
                <w:rFonts w:ascii="Times New Roman" w:hAnsi="Times New Roman" w:cs="Times New Roman"/>
              </w:rPr>
              <w:t>Ministerstwie,</w:t>
            </w:r>
          </w:p>
          <w:p w14:paraId="46B23560" w14:textId="7EC8F7AF"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Użytkownik zarejestrowany – wykorzystanie 2FA (</w:t>
            </w:r>
            <w:proofErr w:type="spellStart"/>
            <w:r w:rsidRPr="0003605B">
              <w:rPr>
                <w:rFonts w:ascii="Times New Roman" w:hAnsi="Times New Roman" w:cs="Times New Roman"/>
              </w:rPr>
              <w:t>RedHat</w:t>
            </w:r>
            <w:proofErr w:type="spellEnd"/>
            <w:r w:rsidRPr="0003605B">
              <w:rPr>
                <w:rFonts w:ascii="Times New Roman" w:hAnsi="Times New Roman" w:cs="Times New Roman"/>
              </w:rPr>
              <w:t xml:space="preserve"> SSO),</w:t>
            </w:r>
          </w:p>
          <w:p w14:paraId="3DB6722D" w14:textId="0E804101"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Wprowadzane w systemie hasła nie są pokazywane na monitorze otwartym tekstem,</w:t>
            </w:r>
          </w:p>
          <w:p w14:paraId="0D1AA966" w14:textId="4536BAB4"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Konieczność uwierzytelnienie się inną metodą niż hasło podczas operacji zmiany danych</w:t>
            </w:r>
            <w:r w:rsidR="000C36C1" w:rsidRPr="0003605B">
              <w:rPr>
                <w:rFonts w:ascii="Times New Roman" w:hAnsi="Times New Roman" w:cs="Times New Roman"/>
              </w:rPr>
              <w:t xml:space="preserve"> </w:t>
            </w:r>
            <w:r w:rsidRPr="0003605B">
              <w:rPr>
                <w:rFonts w:ascii="Times New Roman" w:hAnsi="Times New Roman" w:cs="Times New Roman"/>
              </w:rPr>
              <w:t>w MT,</w:t>
            </w:r>
          </w:p>
          <w:p w14:paraId="52E168F3" w14:textId="60175D32"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lastRenderedPageBreak/>
              <w:t>Wykorzystanie 2FA (</w:t>
            </w:r>
            <w:proofErr w:type="spellStart"/>
            <w:r w:rsidRPr="0003605B">
              <w:rPr>
                <w:rFonts w:ascii="Times New Roman" w:hAnsi="Times New Roman" w:cs="Times New Roman"/>
              </w:rPr>
              <w:t>RedHat</w:t>
            </w:r>
            <w:proofErr w:type="spellEnd"/>
            <w:r w:rsidRPr="0003605B">
              <w:rPr>
                <w:rFonts w:ascii="Times New Roman" w:hAnsi="Times New Roman" w:cs="Times New Roman"/>
              </w:rPr>
              <w:t xml:space="preserve"> SSO),</w:t>
            </w:r>
          </w:p>
          <w:p w14:paraId="2C840347" w14:textId="4A8920D1"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Zastosowanie filtrów prywatyzacyjnych,</w:t>
            </w:r>
          </w:p>
          <w:p w14:paraId="5F7E7BD4" w14:textId="5064B7F6"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Odpowiednie ustawienie monitorów,</w:t>
            </w:r>
          </w:p>
          <w:p w14:paraId="12616755" w14:textId="324E6793"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Odpowiednie ustawienie kamer CCTV,</w:t>
            </w:r>
          </w:p>
          <w:p w14:paraId="3DC5F043" w14:textId="138C964E"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Stosowanie wygaszacza ekranu. Wymaganie hasła do odblokowania wygaszacza ekranu,</w:t>
            </w:r>
          </w:p>
          <w:p w14:paraId="6D9EFFA5" w14:textId="5639D6F8"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Automatyczne blokowanie ekranu w wyniku bezczynności użytkownika,</w:t>
            </w:r>
          </w:p>
          <w:p w14:paraId="07C25DD2" w14:textId="0CCE4287"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Ochrona przed złośliwym oprogramowaniem, system klasy EDR,</w:t>
            </w:r>
          </w:p>
          <w:p w14:paraId="469604F3" w14:textId="1426DF26"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System kontroli dostępu oraz monitoringu wizyjnego,</w:t>
            </w:r>
          </w:p>
          <w:p w14:paraId="0448B8F2" w14:textId="71C3F667"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Zgłaszanie naruszeń do Urzędu Ochrony Danych Osobowych,</w:t>
            </w:r>
          </w:p>
          <w:p w14:paraId="1443CF3B" w14:textId="165598FD"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Logiczny model dziedziny i fizyczny model danych – uzgodniony i zatwierdzony przez</w:t>
            </w:r>
            <w:r w:rsidR="000C36C1" w:rsidRPr="0003605B">
              <w:rPr>
                <w:rFonts w:ascii="Times New Roman" w:hAnsi="Times New Roman" w:cs="Times New Roman"/>
              </w:rPr>
              <w:t xml:space="preserve"> </w:t>
            </w:r>
            <w:r w:rsidRPr="0003605B">
              <w:rPr>
                <w:rFonts w:ascii="Times New Roman" w:hAnsi="Times New Roman" w:cs="Times New Roman"/>
              </w:rPr>
              <w:t>Ministerstwo,</w:t>
            </w:r>
          </w:p>
          <w:p w14:paraId="0871B66C" w14:textId="32E38802"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Testy oprogramowania,</w:t>
            </w:r>
          </w:p>
          <w:p w14:paraId="0D6FF241" w14:textId="5CB949EF"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proofErr w:type="spellStart"/>
            <w:r w:rsidRPr="0003605B">
              <w:rPr>
                <w:rFonts w:ascii="Times New Roman" w:hAnsi="Times New Roman" w:cs="Times New Roman"/>
              </w:rPr>
              <w:t>Complaince</w:t>
            </w:r>
            <w:proofErr w:type="spellEnd"/>
            <w:r w:rsidRPr="0003605B">
              <w:rPr>
                <w:rFonts w:ascii="Times New Roman" w:hAnsi="Times New Roman" w:cs="Times New Roman"/>
              </w:rPr>
              <w:t xml:space="preserve"> – proces zarzadzania zgodnością z przepisami prawa,</w:t>
            </w:r>
          </w:p>
          <w:p w14:paraId="1AAD50C0" w14:textId="28A45E91"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Szyfrowanie nośników wymiennych,</w:t>
            </w:r>
          </w:p>
          <w:p w14:paraId="05FFA4E1" w14:textId="5C934F62"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Blokowanie portów USB na stacjach roboczych,</w:t>
            </w:r>
          </w:p>
          <w:p w14:paraId="2B8BBF12" w14:textId="3E5A208A"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Zakazy proceduralne stosowania prywatnych nośników oraz jasno określone zasady</w:t>
            </w:r>
            <w:r w:rsidR="000C36C1" w:rsidRPr="0003605B">
              <w:rPr>
                <w:rFonts w:ascii="Times New Roman" w:hAnsi="Times New Roman" w:cs="Times New Roman"/>
              </w:rPr>
              <w:t xml:space="preserve"> </w:t>
            </w:r>
            <w:r w:rsidRPr="0003605B">
              <w:rPr>
                <w:rFonts w:ascii="Times New Roman" w:hAnsi="Times New Roman" w:cs="Times New Roman"/>
              </w:rPr>
              <w:t>naruszenia odpowiedzialności dyscyplinarnej,</w:t>
            </w:r>
          </w:p>
          <w:p w14:paraId="2B2DD48E" w14:textId="09827B1F"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Rozwiązanie klasy SIEM,</w:t>
            </w:r>
          </w:p>
          <w:p w14:paraId="18401C36" w14:textId="16AC72B2"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Proces zarządzania logami, retencja logów,</w:t>
            </w:r>
          </w:p>
          <w:p w14:paraId="6E87082D" w14:textId="4ED757B7"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Eliminacja pojedynczych punktów awarii,</w:t>
            </w:r>
          </w:p>
          <w:p w14:paraId="4D5187E7" w14:textId="1F2CEAF2"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 xml:space="preserve">Redundancja, </w:t>
            </w:r>
            <w:proofErr w:type="spellStart"/>
            <w:r w:rsidRPr="0003605B">
              <w:rPr>
                <w:rFonts w:ascii="Times New Roman" w:hAnsi="Times New Roman" w:cs="Times New Roman"/>
              </w:rPr>
              <w:t>Klastrowanie</w:t>
            </w:r>
            <w:proofErr w:type="spellEnd"/>
            <w:r w:rsidRPr="0003605B">
              <w:rPr>
                <w:rFonts w:ascii="Times New Roman" w:hAnsi="Times New Roman" w:cs="Times New Roman"/>
              </w:rPr>
              <w:t xml:space="preserve">, </w:t>
            </w:r>
            <w:proofErr w:type="spellStart"/>
            <w:r w:rsidRPr="0003605B">
              <w:rPr>
                <w:rFonts w:ascii="Times New Roman" w:hAnsi="Times New Roman" w:cs="Times New Roman"/>
              </w:rPr>
              <w:t>OpenShift</w:t>
            </w:r>
            <w:proofErr w:type="spellEnd"/>
            <w:r w:rsidRPr="0003605B">
              <w:rPr>
                <w:rFonts w:ascii="Times New Roman" w:hAnsi="Times New Roman" w:cs="Times New Roman"/>
              </w:rPr>
              <w:t>,</w:t>
            </w:r>
          </w:p>
          <w:p w14:paraId="4BD795F0" w14:textId="6994E7D8"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Przegląd i konserwacja urządzeń infrastruktury,</w:t>
            </w:r>
          </w:p>
          <w:p w14:paraId="289FFD0B" w14:textId="46AE76A0"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 xml:space="preserve">Agregaty prądotwórcze, </w:t>
            </w:r>
            <w:proofErr w:type="spellStart"/>
            <w:r w:rsidRPr="0003605B">
              <w:rPr>
                <w:rFonts w:ascii="Times New Roman" w:hAnsi="Times New Roman" w:cs="Times New Roman"/>
              </w:rPr>
              <w:t>ups</w:t>
            </w:r>
            <w:proofErr w:type="spellEnd"/>
            <w:r w:rsidRPr="0003605B">
              <w:rPr>
                <w:rFonts w:ascii="Times New Roman" w:hAnsi="Times New Roman" w:cs="Times New Roman"/>
              </w:rPr>
              <w:t>,</w:t>
            </w:r>
          </w:p>
          <w:p w14:paraId="1CBB5535" w14:textId="0F937B00"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Zabezpieczenia w warstwie sieciowej ITS (Firewall, IDS/IPS, separacja sieci),</w:t>
            </w:r>
          </w:p>
          <w:p w14:paraId="59C08D4C" w14:textId="599DFDF0"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Szyfrowanie komunikacji, w szczególności via sieć Internet,</w:t>
            </w:r>
          </w:p>
          <w:p w14:paraId="4AF97B8B" w14:textId="36137271"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Szyfrowanie danych (w spoczynku, w ruchu, procesowanych),</w:t>
            </w:r>
          </w:p>
          <w:p w14:paraId="600562A7" w14:textId="19E0EB6B"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Strategia „ochrony w głąb”,</w:t>
            </w:r>
          </w:p>
          <w:p w14:paraId="49A694BB" w14:textId="5455D7DB"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Procedura kopii bezpieczeństwa,</w:t>
            </w:r>
          </w:p>
          <w:p w14:paraId="16A4B1A3" w14:textId="2DE0CA77"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Testowe odtwarzanie kopii bezpieczeństwa i weryfikacja systemu po odtworzeniu,</w:t>
            </w:r>
          </w:p>
          <w:p w14:paraId="473F7CAD" w14:textId="7DF006C2"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Klimatyzacja precyzyjna,</w:t>
            </w:r>
          </w:p>
          <w:p w14:paraId="699ED71B" w14:textId="26980608"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System p-</w:t>
            </w:r>
            <w:proofErr w:type="spellStart"/>
            <w:r w:rsidRPr="0003605B">
              <w:rPr>
                <w:rFonts w:ascii="Times New Roman" w:hAnsi="Times New Roman" w:cs="Times New Roman"/>
              </w:rPr>
              <w:t>poż</w:t>
            </w:r>
            <w:proofErr w:type="spellEnd"/>
            <w:r w:rsidRPr="0003605B">
              <w:rPr>
                <w:rFonts w:ascii="Times New Roman" w:hAnsi="Times New Roman" w:cs="Times New Roman"/>
              </w:rPr>
              <w:t>,</w:t>
            </w:r>
          </w:p>
          <w:p w14:paraId="0DAF13FC" w14:textId="6171AB3C"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Oświetlenie awaryjne,</w:t>
            </w:r>
          </w:p>
          <w:p w14:paraId="109E509D" w14:textId="2D1411D8"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Drzwi antywłamaniowe odpowiedniej klasy,</w:t>
            </w:r>
          </w:p>
          <w:p w14:paraId="24875501" w14:textId="1E871632"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Podłoga techniczna,</w:t>
            </w:r>
          </w:p>
          <w:p w14:paraId="76D4C327" w14:textId="6BFC3F8A"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System kontroli dostępu,</w:t>
            </w:r>
          </w:p>
          <w:p w14:paraId="5B4FAD6C" w14:textId="2DF1BE41"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System monitoringu wizyjnego,</w:t>
            </w:r>
          </w:p>
          <w:p w14:paraId="1ABCE4A0" w14:textId="558D6943"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Całodobowa ochrona fizyczna,</w:t>
            </w:r>
          </w:p>
          <w:p w14:paraId="5B9B802D" w14:textId="6EFEDC09"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Umowy na dostawy usług,</w:t>
            </w:r>
          </w:p>
          <w:p w14:paraId="7E0BA9B9" w14:textId="77777777" w:rsidR="004867DB" w:rsidRPr="0003605B" w:rsidRDefault="004867DB" w:rsidP="0003605B">
            <w:pPr>
              <w:pStyle w:val="Akapitzlist"/>
              <w:numPr>
                <w:ilvl w:val="0"/>
                <w:numId w:val="6"/>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Zarządzanie konfiguracją – skany infrastruktury.</w:t>
            </w:r>
          </w:p>
          <w:p w14:paraId="1CF9C86D" w14:textId="77777777" w:rsidR="000C36C1" w:rsidRPr="0003605B" w:rsidRDefault="000C36C1" w:rsidP="0003605B">
            <w:pPr>
              <w:autoSpaceDE w:val="0"/>
              <w:autoSpaceDN w:val="0"/>
              <w:adjustRightInd w:val="0"/>
              <w:spacing w:line="240" w:lineRule="auto"/>
              <w:jc w:val="both"/>
              <w:rPr>
                <w:rFonts w:ascii="Times New Roman" w:hAnsi="Times New Roman"/>
                <w:b/>
                <w:bCs/>
              </w:rPr>
            </w:pPr>
            <w:r w:rsidRPr="0003605B">
              <w:rPr>
                <w:rFonts w:ascii="Times New Roman" w:hAnsi="Times New Roman"/>
                <w:b/>
                <w:bCs/>
              </w:rPr>
              <w:t>W ramach zabezpieczeń organizacyjnych wdrożono:</w:t>
            </w:r>
          </w:p>
          <w:p w14:paraId="358AB139" w14:textId="18321B49"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Proces zarządzania uprawnieniami i upoważnieniami do przetwarzania danych osobowych,</w:t>
            </w:r>
          </w:p>
          <w:p w14:paraId="24BDB751" w14:textId="569462D2"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Szkolenia i podnoszenia świadomości użytkowników Systemu,</w:t>
            </w:r>
          </w:p>
          <w:p w14:paraId="1D2E6F93" w14:textId="64755A25"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Zasady czystego biurka,</w:t>
            </w:r>
          </w:p>
          <w:p w14:paraId="197B2961" w14:textId="299A9099"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Zasady czystego ekranu,</w:t>
            </w:r>
          </w:p>
          <w:p w14:paraId="24EF32F3" w14:textId="2D21DDFF"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Zasady minimalnych uprawnień,</w:t>
            </w:r>
          </w:p>
          <w:p w14:paraId="07825D69" w14:textId="76B945BE"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Procedury postępowania z dokumentacją,</w:t>
            </w:r>
          </w:p>
          <w:p w14:paraId="2F464369" w14:textId="76FC5A18"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Obsługę incydentów,</w:t>
            </w:r>
          </w:p>
          <w:p w14:paraId="3594EAD0" w14:textId="7BF5EAE8"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Zgłaszanie naruszeń do Urzędu Ochrony Danych Osobowych,</w:t>
            </w:r>
          </w:p>
          <w:p w14:paraId="2D00F4F8" w14:textId="6D2F833F"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Możliwość aktualizacji metryk uczestników postępowania,</w:t>
            </w:r>
          </w:p>
          <w:p w14:paraId="18C2ABE8" w14:textId="2764B7AC"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Możliwość złożenia i przetwarzania dokumentów wymaganych przez przepisy prawa,</w:t>
            </w:r>
          </w:p>
          <w:p w14:paraId="478AC6BB" w14:textId="069CD3CE"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Analizę danych osobowych przetwarzanych w systemie pod kątem konieczności zawarcia umów powierzenia przetwarzania danych osobowych,</w:t>
            </w:r>
          </w:p>
          <w:p w14:paraId="6582E81D" w14:textId="5E592D2A"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Analiza przetwarzanych danych osobowych w Systemie pod kątem spełnienia wymagań wynikających z art. 6 ust. 1 lit a) RODO,</w:t>
            </w:r>
          </w:p>
          <w:p w14:paraId="5D0E8E4C" w14:textId="77777777"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Klauzule informacyjne dostarczone przez Ministerstwo,</w:t>
            </w:r>
          </w:p>
          <w:p w14:paraId="1E28564C" w14:textId="6AFBFAAB"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Analizę przetwarzanych danych osobowych w Systemie pod kątem spełnienia wymagań wynikających z art. 15–22 RODO,</w:t>
            </w:r>
          </w:p>
          <w:p w14:paraId="0C83759C" w14:textId="3C1130BC"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Implementację zasad zaprzestania ujawniania informacji zgodnie z ustawą o KRZ,</w:t>
            </w:r>
          </w:p>
          <w:p w14:paraId="1C34F90E" w14:textId="77777777" w:rsidR="000C36C1" w:rsidRPr="0003605B" w:rsidRDefault="000C36C1" w:rsidP="0003605B">
            <w:pPr>
              <w:pStyle w:val="Akapitzlist"/>
              <w:numPr>
                <w:ilvl w:val="0"/>
                <w:numId w:val="8"/>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Zgłaszanie nowych czynności przetwarzania do Rejestru Czynności Przetwarzania Danych.</w:t>
            </w:r>
          </w:p>
          <w:p w14:paraId="5272841A" w14:textId="07B96864" w:rsidR="000C36C1" w:rsidRPr="0003605B" w:rsidRDefault="000C36C1" w:rsidP="0003605B">
            <w:pPr>
              <w:autoSpaceDE w:val="0"/>
              <w:autoSpaceDN w:val="0"/>
              <w:adjustRightInd w:val="0"/>
              <w:spacing w:line="240" w:lineRule="auto"/>
              <w:jc w:val="both"/>
              <w:rPr>
                <w:rFonts w:ascii="Times New Roman" w:hAnsi="Times New Roman"/>
                <w:b/>
                <w:bCs/>
              </w:rPr>
            </w:pPr>
            <w:r w:rsidRPr="0003605B">
              <w:rPr>
                <w:rFonts w:ascii="Times New Roman" w:hAnsi="Times New Roman"/>
                <w:b/>
                <w:bCs/>
              </w:rPr>
              <w:lastRenderedPageBreak/>
              <w:t xml:space="preserve">Przeprowadzona analiza ryzyka była podstawą do oceny planowanych operacji przetwarzania danych pod kątem niezbędności oraz proporcjonalności w stosunku do celów przetwarzania oraz oceny ryzyka naruszenia praw </w:t>
            </w:r>
            <w:r w:rsidR="00883702" w:rsidRPr="0003605B">
              <w:rPr>
                <w:rFonts w:ascii="Times New Roman" w:hAnsi="Times New Roman"/>
                <w:b/>
                <w:bCs/>
              </w:rPr>
              <w:br/>
            </w:r>
            <w:r w:rsidRPr="0003605B">
              <w:rPr>
                <w:rFonts w:ascii="Times New Roman" w:hAnsi="Times New Roman"/>
                <w:b/>
                <w:bCs/>
              </w:rPr>
              <w:t>lub wolności osób, których dane dotyczą.</w:t>
            </w:r>
          </w:p>
          <w:p w14:paraId="74030065" w14:textId="6EE66764" w:rsidR="000C36C1" w:rsidRPr="0003605B" w:rsidRDefault="006F2F2D" w:rsidP="0003605B">
            <w:pPr>
              <w:autoSpaceDE w:val="0"/>
              <w:autoSpaceDN w:val="0"/>
              <w:adjustRightInd w:val="0"/>
              <w:spacing w:line="240" w:lineRule="auto"/>
              <w:jc w:val="both"/>
              <w:rPr>
                <w:rFonts w:ascii="Times New Roman" w:hAnsi="Times New Roman"/>
              </w:rPr>
            </w:pPr>
            <w:r w:rsidRPr="0003605B">
              <w:rPr>
                <w:rFonts w:ascii="Times New Roman" w:hAnsi="Times New Roman"/>
              </w:rPr>
              <w:t xml:space="preserve">W ramach przeprowadzonej oceny zidentyfikowano skutki oraz prawdopodobieństwo potencjalnych naruszeń oraz dokonano oceny środków planowanych i wdrożonych w celu zaradzenia ryzyku, w tym zabezpieczenia oraz środki </w:t>
            </w:r>
            <w:r w:rsidR="00883702" w:rsidRPr="0003605B">
              <w:rPr>
                <w:rFonts w:ascii="Times New Roman" w:hAnsi="Times New Roman"/>
              </w:rPr>
              <w:br/>
            </w:r>
            <w:r w:rsidRPr="0003605B">
              <w:rPr>
                <w:rFonts w:ascii="Times New Roman" w:hAnsi="Times New Roman"/>
              </w:rPr>
              <w:t>i mechanizmy bezpieczeństwa mające zapewnić ochronę danych osobowych (art. 35 RODO). Ocenę uzupełniono</w:t>
            </w:r>
            <w:r w:rsidRPr="0003605B">
              <w:rPr>
                <w:rFonts w:ascii="Times New Roman" w:hAnsi="Times New Roman"/>
              </w:rPr>
              <w:br/>
              <w:t xml:space="preserve"> o właścicieli </w:t>
            </w:r>
            <w:proofErr w:type="spellStart"/>
            <w:r w:rsidRPr="0003605B">
              <w:rPr>
                <w:rFonts w:ascii="Times New Roman" w:hAnsi="Times New Roman"/>
              </w:rPr>
              <w:t>ryzyk</w:t>
            </w:r>
            <w:proofErr w:type="spellEnd"/>
            <w:r w:rsidRPr="0003605B">
              <w:rPr>
                <w:rFonts w:ascii="Times New Roman" w:hAnsi="Times New Roman"/>
              </w:rPr>
              <w:t xml:space="preserve"> oraz terminy realizacji przypisanych zadań. Bezpieczeństwo przetwarzania danych w KRZ reguluje następująca dokumentacja bezpieczeństwa:</w:t>
            </w:r>
          </w:p>
          <w:p w14:paraId="17AB16C0" w14:textId="77777777" w:rsidR="006F2F2D" w:rsidRPr="0003605B" w:rsidRDefault="006F2F2D" w:rsidP="0003605B">
            <w:pPr>
              <w:autoSpaceDE w:val="0"/>
              <w:autoSpaceDN w:val="0"/>
              <w:adjustRightInd w:val="0"/>
              <w:spacing w:line="240" w:lineRule="auto"/>
              <w:ind w:left="708"/>
              <w:jc w:val="both"/>
              <w:rPr>
                <w:rFonts w:ascii="Times New Roman" w:hAnsi="Times New Roman"/>
              </w:rPr>
            </w:pPr>
            <w:r w:rsidRPr="0003605B">
              <w:rPr>
                <w:rFonts w:ascii="Times New Roman" w:hAnsi="Times New Roman"/>
              </w:rPr>
              <w:t>1. Polityka Bezpieczeństwa Informacji MS,</w:t>
            </w:r>
          </w:p>
          <w:p w14:paraId="19946FE3" w14:textId="77777777" w:rsidR="006F2F2D" w:rsidRPr="0003605B" w:rsidRDefault="006F2F2D" w:rsidP="0003605B">
            <w:pPr>
              <w:autoSpaceDE w:val="0"/>
              <w:autoSpaceDN w:val="0"/>
              <w:adjustRightInd w:val="0"/>
              <w:spacing w:line="240" w:lineRule="auto"/>
              <w:ind w:left="708"/>
              <w:jc w:val="both"/>
              <w:rPr>
                <w:rFonts w:ascii="Times New Roman" w:hAnsi="Times New Roman"/>
              </w:rPr>
            </w:pPr>
            <w:r w:rsidRPr="0003605B">
              <w:rPr>
                <w:rFonts w:ascii="Times New Roman" w:hAnsi="Times New Roman"/>
              </w:rPr>
              <w:t>2. Polityka Bezpieczeństwa Systemu Teleinformatycznego KRZ,</w:t>
            </w:r>
          </w:p>
          <w:p w14:paraId="6E950A6A" w14:textId="77777777" w:rsidR="006F2F2D" w:rsidRPr="0003605B" w:rsidRDefault="006F2F2D" w:rsidP="0003605B">
            <w:pPr>
              <w:autoSpaceDE w:val="0"/>
              <w:autoSpaceDN w:val="0"/>
              <w:adjustRightInd w:val="0"/>
              <w:spacing w:line="240" w:lineRule="auto"/>
              <w:ind w:left="708"/>
              <w:jc w:val="both"/>
              <w:rPr>
                <w:rFonts w:ascii="Times New Roman" w:hAnsi="Times New Roman"/>
              </w:rPr>
            </w:pPr>
            <w:r w:rsidRPr="0003605B">
              <w:rPr>
                <w:rFonts w:ascii="Times New Roman" w:hAnsi="Times New Roman"/>
              </w:rPr>
              <w:t>3. Procedury obsługi incydentów,</w:t>
            </w:r>
          </w:p>
          <w:p w14:paraId="66BD7220" w14:textId="77777777" w:rsidR="006F2F2D" w:rsidRPr="0003605B" w:rsidRDefault="006F2F2D" w:rsidP="0003605B">
            <w:pPr>
              <w:autoSpaceDE w:val="0"/>
              <w:autoSpaceDN w:val="0"/>
              <w:adjustRightInd w:val="0"/>
              <w:spacing w:line="240" w:lineRule="auto"/>
              <w:ind w:left="708"/>
              <w:jc w:val="both"/>
              <w:rPr>
                <w:rFonts w:ascii="Times New Roman" w:hAnsi="Times New Roman"/>
              </w:rPr>
            </w:pPr>
            <w:r w:rsidRPr="0003605B">
              <w:rPr>
                <w:rFonts w:ascii="Times New Roman" w:hAnsi="Times New Roman"/>
              </w:rPr>
              <w:t>4. Polityka Bezpieczeństwa Danych Osobowych MS,</w:t>
            </w:r>
          </w:p>
          <w:p w14:paraId="0CD02BF1" w14:textId="77777777" w:rsidR="006F2F2D" w:rsidRPr="0003605B" w:rsidRDefault="006F2F2D" w:rsidP="0003605B">
            <w:pPr>
              <w:autoSpaceDE w:val="0"/>
              <w:autoSpaceDN w:val="0"/>
              <w:adjustRightInd w:val="0"/>
              <w:spacing w:line="240" w:lineRule="auto"/>
              <w:ind w:left="708"/>
              <w:jc w:val="both"/>
              <w:rPr>
                <w:rFonts w:ascii="Times New Roman" w:hAnsi="Times New Roman"/>
              </w:rPr>
            </w:pPr>
            <w:r w:rsidRPr="0003605B">
              <w:rPr>
                <w:rFonts w:ascii="Times New Roman" w:hAnsi="Times New Roman"/>
              </w:rPr>
              <w:t>5. Regulamin Użytkownika Systemów Teleinformatycznych,</w:t>
            </w:r>
          </w:p>
          <w:p w14:paraId="519199B0" w14:textId="77777777" w:rsidR="006F2F2D" w:rsidRPr="0003605B" w:rsidRDefault="006F2F2D" w:rsidP="0003605B">
            <w:pPr>
              <w:autoSpaceDE w:val="0"/>
              <w:autoSpaceDN w:val="0"/>
              <w:adjustRightInd w:val="0"/>
              <w:spacing w:line="240" w:lineRule="auto"/>
              <w:ind w:left="708"/>
              <w:jc w:val="both"/>
              <w:rPr>
                <w:rFonts w:ascii="Times New Roman" w:hAnsi="Times New Roman"/>
              </w:rPr>
            </w:pPr>
            <w:r w:rsidRPr="0003605B">
              <w:rPr>
                <w:rFonts w:ascii="Times New Roman" w:hAnsi="Times New Roman"/>
              </w:rPr>
              <w:t>6. Procedura nadawania uprawnień w systemie.</w:t>
            </w:r>
          </w:p>
          <w:p w14:paraId="7C1DAED7" w14:textId="77777777" w:rsidR="00883702" w:rsidRPr="0003605B" w:rsidRDefault="00883702" w:rsidP="0003605B">
            <w:pPr>
              <w:autoSpaceDE w:val="0"/>
              <w:autoSpaceDN w:val="0"/>
              <w:adjustRightInd w:val="0"/>
              <w:spacing w:line="240" w:lineRule="auto"/>
              <w:jc w:val="both"/>
              <w:rPr>
                <w:rFonts w:ascii="Times New Roman" w:hAnsi="Times New Roman"/>
              </w:rPr>
            </w:pPr>
          </w:p>
          <w:p w14:paraId="6BF4DFA7" w14:textId="43E8D98B" w:rsidR="00883702" w:rsidRPr="0003605B" w:rsidRDefault="00883702" w:rsidP="0003605B">
            <w:pPr>
              <w:autoSpaceDE w:val="0"/>
              <w:autoSpaceDN w:val="0"/>
              <w:adjustRightInd w:val="0"/>
              <w:spacing w:line="240" w:lineRule="auto"/>
              <w:jc w:val="both"/>
              <w:rPr>
                <w:rFonts w:ascii="Times New Roman" w:hAnsi="Times New Roman"/>
              </w:rPr>
            </w:pPr>
            <w:r w:rsidRPr="0003605B">
              <w:rPr>
                <w:rFonts w:ascii="Times New Roman" w:hAnsi="Times New Roman"/>
                <w:b/>
                <w:bCs/>
              </w:rPr>
              <w:t>Ponadto</w:t>
            </w:r>
            <w:r w:rsidR="004858B4">
              <w:rPr>
                <w:rFonts w:ascii="Times New Roman" w:hAnsi="Times New Roman"/>
                <w:b/>
                <w:bCs/>
              </w:rPr>
              <w:t>,</w:t>
            </w:r>
            <w:r w:rsidRPr="0003605B">
              <w:rPr>
                <w:rFonts w:ascii="Times New Roman" w:hAnsi="Times New Roman"/>
                <w:b/>
                <w:bCs/>
              </w:rPr>
              <w:t xml:space="preserve"> w wyniku przeprowadzonej oceny</w:t>
            </w:r>
            <w:r w:rsidRPr="0003605B">
              <w:rPr>
                <w:rFonts w:ascii="Times New Roman" w:hAnsi="Times New Roman"/>
              </w:rPr>
              <w:t xml:space="preserve"> </w:t>
            </w:r>
            <w:r w:rsidRPr="0003605B">
              <w:rPr>
                <w:rFonts w:ascii="Times New Roman" w:hAnsi="Times New Roman"/>
                <w:b/>
                <w:bCs/>
              </w:rPr>
              <w:t>uwzględniono następujące mechanizmy mające zapewnić ochronę danych osobowych:</w:t>
            </w:r>
          </w:p>
          <w:p w14:paraId="08B48E2D" w14:textId="0126DE9B"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Zaimplementowano klauzule informacyjne dostarczone przez Ministerstwo Sprawiedliwości,</w:t>
            </w:r>
          </w:p>
          <w:p w14:paraId="28F5A38A" w14:textId="52D78515"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 xml:space="preserve">Realizacja uprawnień wynikających z art. 15-22 RODO odbywa się na podstawie przepisów ustawy o Krajowym Rejestrze Zadłużonych, z uwzględnieniem </w:t>
            </w:r>
            <w:proofErr w:type="spellStart"/>
            <w:r w:rsidRPr="0003605B">
              <w:rPr>
                <w:rFonts w:ascii="Times New Roman" w:hAnsi="Times New Roman" w:cs="Times New Roman"/>
              </w:rPr>
              <w:t>wyłączeń</w:t>
            </w:r>
            <w:proofErr w:type="spellEnd"/>
            <w:r w:rsidRPr="0003605B">
              <w:rPr>
                <w:rFonts w:ascii="Times New Roman" w:hAnsi="Times New Roman" w:cs="Times New Roman"/>
              </w:rPr>
              <w:t xml:space="preserve"> wynikających z art. 175dc § 2 ustawy o Ustroju sądów powszechnych,</w:t>
            </w:r>
          </w:p>
          <w:p w14:paraId="0A7F631B" w14:textId="5F2721FF"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 xml:space="preserve">Przed wdrożeniem produkcyjnym systemu czynności przetwarzania związane z KRZ zostały uwzględnione </w:t>
            </w:r>
            <w:r w:rsidRPr="0003605B">
              <w:rPr>
                <w:rFonts w:ascii="Times New Roman" w:hAnsi="Times New Roman" w:cs="Times New Roman"/>
              </w:rPr>
              <w:br/>
              <w:t>w Rejestrze czynności przetwarzania danych w MS,</w:t>
            </w:r>
          </w:p>
          <w:p w14:paraId="138061BF" w14:textId="7B500ED2"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 xml:space="preserve">W Systemie KRZ zaimplementowano funkcjonalność, która pozwala na zaprzestanie ujawniania informacji zgodnie </w:t>
            </w:r>
            <w:r w:rsidRPr="0003605B">
              <w:rPr>
                <w:rFonts w:ascii="Times New Roman" w:hAnsi="Times New Roman" w:cs="Times New Roman"/>
              </w:rPr>
              <w:br/>
              <w:t>z ustawą o KRZ.</w:t>
            </w:r>
          </w:p>
          <w:p w14:paraId="1AAF66DF" w14:textId="27445DF6"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Na etapie przygotowania postępowania o udzielenie zamówienia publicznego przeprowadzono analizę pod kątem obowiązku zawarcia umowy powierzenia danych osobowych. Umowa została zawarta,</w:t>
            </w:r>
          </w:p>
          <w:p w14:paraId="5FD52385" w14:textId="76B6B8A5"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Komunikacja pomiędzy przeglądarką a serwerem front-end odbywa się z wykorzystaniem bezpiecznego, zaszyfrowanego kanału,</w:t>
            </w:r>
          </w:p>
          <w:p w14:paraId="0BFA3AC4" w14:textId="4375FF2F"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Na etapie odbioru oprogramowania przeprowadzone zostały testy bezpieczeństwa, w tym testy penetracyjne,</w:t>
            </w:r>
          </w:p>
          <w:p w14:paraId="19AD189E" w14:textId="19C56332"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Wdrożono mechanizmy logowania zdarzeń w Systemie,</w:t>
            </w:r>
          </w:p>
          <w:p w14:paraId="3C643718" w14:textId="1B4DB55F"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Każdy administrator posiada imienne konto administracyjne oraz imienne konto zwykłego użytkownika do realizacji zadań niewymagających uprzywilejowanego dostępu,</w:t>
            </w:r>
          </w:p>
          <w:p w14:paraId="6BA2725A" w14:textId="51207804"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Przeprowadzono przedwdrożeniowy audyt bezpieczeństwa systemu KRZ,</w:t>
            </w:r>
          </w:p>
          <w:p w14:paraId="5209D058" w14:textId="0A41F177"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W Systemie KRZ regularnie wykonywane oraz testowane są kopie zapasowe,</w:t>
            </w:r>
          </w:p>
          <w:p w14:paraId="5D8A9E4D" w14:textId="56F9FECD"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Architektura Systemu KRZ minimalizuje występowania pojedynczych punktów awarii,</w:t>
            </w:r>
          </w:p>
          <w:p w14:paraId="29E7E41D" w14:textId="3E1A19F2"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Zaplanowano przeprowadzenie szkoleń przedwdrożeniowych i powdrożeniowych,</w:t>
            </w:r>
          </w:p>
          <w:p w14:paraId="318BC0CF" w14:textId="26DC409D"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Zabezpieczenia serwerowni gwarantują bezpieczną eksploatację centralnego systemu teleinformatycznego KRZ,</w:t>
            </w:r>
          </w:p>
          <w:p w14:paraId="514A0C07" w14:textId="20B2569C"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System KRZ umożliwia użytkownikom zarejestrowanym włączenie mechanizmu uwierzytelnienia dwuskładnikowego,</w:t>
            </w:r>
          </w:p>
          <w:p w14:paraId="71F233C5" w14:textId="6FC7D4AD"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Przeprowadzono proces testów akceptacyjnych, potwierdzających zgodność Systemu KRZ z wymaganiami Ministerstwa Sprawiedliwości,</w:t>
            </w:r>
          </w:p>
          <w:p w14:paraId="1BC7435A" w14:textId="286FFF17"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Zaimplementowany w Systemie KRZ logiczny model dziedziny oraz fizyczny model danych umożliwia przetwarzanie danych tyko na potrzeby ustawy o KRZ,</w:t>
            </w:r>
          </w:p>
          <w:p w14:paraId="79CAEDC8" w14:textId="32681CD7" w:rsidR="00883702" w:rsidRPr="0003605B" w:rsidRDefault="00883702" w:rsidP="0003605B">
            <w:pPr>
              <w:pStyle w:val="Akapitzlist"/>
              <w:numPr>
                <w:ilvl w:val="0"/>
                <w:numId w:val="10"/>
              </w:numPr>
              <w:autoSpaceDE w:val="0"/>
              <w:autoSpaceDN w:val="0"/>
              <w:adjustRightInd w:val="0"/>
              <w:spacing w:line="240" w:lineRule="auto"/>
              <w:jc w:val="both"/>
              <w:rPr>
                <w:rFonts w:ascii="Times New Roman" w:hAnsi="Times New Roman" w:cs="Times New Roman"/>
              </w:rPr>
            </w:pPr>
            <w:r w:rsidRPr="0003605B">
              <w:rPr>
                <w:rFonts w:ascii="Times New Roman" w:hAnsi="Times New Roman" w:cs="Times New Roman"/>
              </w:rPr>
              <w:t>Wprowadzono separację danych, na poziomie schematu bazy danych, które mają być dostępne publicznie od danych na etapie prowadzenia postępowania.</w:t>
            </w:r>
          </w:p>
        </w:tc>
      </w:tr>
      <w:tr w:rsidR="005715B5" w:rsidRPr="0003605B" w14:paraId="38ED0617" w14:textId="77777777" w:rsidTr="009C3613">
        <w:trPr>
          <w:gridAfter w:val="2"/>
          <w:wAfter w:w="7237" w:type="dxa"/>
          <w:trHeight w:val="307"/>
        </w:trPr>
        <w:tc>
          <w:tcPr>
            <w:tcW w:w="10938" w:type="dxa"/>
            <w:gridSpan w:val="29"/>
            <w:shd w:val="clear" w:color="auto" w:fill="99CCFF"/>
            <w:vAlign w:val="center"/>
          </w:tcPr>
          <w:p w14:paraId="202EA7EE" w14:textId="77777777" w:rsidR="005715B5" w:rsidRPr="0003605B" w:rsidRDefault="005715B5" w:rsidP="0003605B">
            <w:pPr>
              <w:numPr>
                <w:ilvl w:val="0"/>
                <w:numId w:val="1"/>
              </w:numPr>
              <w:spacing w:before="60" w:after="60" w:line="240" w:lineRule="auto"/>
              <w:ind w:left="318" w:hanging="284"/>
              <w:jc w:val="both"/>
              <w:rPr>
                <w:rFonts w:ascii="Times New Roman" w:hAnsi="Times New Roman"/>
                <w:b/>
                <w:color w:val="000000"/>
              </w:rPr>
            </w:pPr>
            <w:r w:rsidRPr="0003605B">
              <w:rPr>
                <w:rFonts w:ascii="Times New Roman" w:hAnsi="Times New Roman"/>
                <w:b/>
                <w:spacing w:val="-2"/>
              </w:rPr>
              <w:lastRenderedPageBreak/>
              <w:t>Jak problem został rozwiązany w innych krajach, w szczególności krajach członkowskich OECD/UE</w:t>
            </w:r>
            <w:r w:rsidRPr="0003605B">
              <w:rPr>
                <w:rFonts w:ascii="Times New Roman" w:hAnsi="Times New Roman"/>
                <w:b/>
                <w:color w:val="000000"/>
              </w:rPr>
              <w:t>?</w:t>
            </w:r>
            <w:r w:rsidRPr="0003605B">
              <w:rPr>
                <w:rFonts w:ascii="Times New Roman" w:hAnsi="Times New Roman"/>
                <w:i/>
                <w:color w:val="000000"/>
              </w:rPr>
              <w:t xml:space="preserve"> </w:t>
            </w:r>
          </w:p>
        </w:tc>
      </w:tr>
      <w:tr w:rsidR="005715B5" w:rsidRPr="0003605B" w14:paraId="04260978" w14:textId="77777777" w:rsidTr="009C3613">
        <w:trPr>
          <w:gridAfter w:val="2"/>
          <w:wAfter w:w="7237" w:type="dxa"/>
          <w:trHeight w:val="142"/>
        </w:trPr>
        <w:tc>
          <w:tcPr>
            <w:tcW w:w="10938" w:type="dxa"/>
            <w:gridSpan w:val="29"/>
            <w:shd w:val="clear" w:color="auto" w:fill="auto"/>
          </w:tcPr>
          <w:p w14:paraId="780F75C5" w14:textId="77777777" w:rsidR="005715B5" w:rsidRPr="0003605B" w:rsidRDefault="005715B5" w:rsidP="0003605B">
            <w:pPr>
              <w:spacing w:line="240" w:lineRule="auto"/>
              <w:jc w:val="both"/>
              <w:rPr>
                <w:rFonts w:ascii="Times New Roman" w:hAnsi="Times New Roman"/>
                <w:color w:val="000000"/>
                <w:spacing w:val="-2"/>
              </w:rPr>
            </w:pPr>
            <w:r w:rsidRPr="0003605B">
              <w:rPr>
                <w:rFonts w:ascii="Times New Roman" w:hAnsi="Times New Roman"/>
              </w:rPr>
              <w:t xml:space="preserve">Z uwagi na szczegółowość proponowanych rozwiązań, odstąpiono od analizy </w:t>
            </w:r>
            <w:proofErr w:type="spellStart"/>
            <w:r w:rsidRPr="0003605B">
              <w:rPr>
                <w:rFonts w:ascii="Times New Roman" w:hAnsi="Times New Roman"/>
              </w:rPr>
              <w:t>prawnoporównawczej</w:t>
            </w:r>
            <w:proofErr w:type="spellEnd"/>
            <w:r w:rsidRPr="0003605B">
              <w:rPr>
                <w:rFonts w:ascii="Times New Roman" w:hAnsi="Times New Roman"/>
              </w:rPr>
              <w:t xml:space="preserve"> międzynarodowych regulacji w przedmiotowej kwestii. </w:t>
            </w:r>
          </w:p>
        </w:tc>
      </w:tr>
      <w:tr w:rsidR="005715B5" w:rsidRPr="0003605B" w14:paraId="1294127D" w14:textId="77777777" w:rsidTr="009C3613">
        <w:trPr>
          <w:gridAfter w:val="2"/>
          <w:wAfter w:w="7237" w:type="dxa"/>
          <w:trHeight w:val="359"/>
        </w:trPr>
        <w:tc>
          <w:tcPr>
            <w:tcW w:w="10938" w:type="dxa"/>
            <w:gridSpan w:val="29"/>
            <w:shd w:val="clear" w:color="auto" w:fill="99CCFF"/>
            <w:vAlign w:val="center"/>
          </w:tcPr>
          <w:p w14:paraId="424600A8" w14:textId="77777777" w:rsidR="005715B5" w:rsidRPr="0003605B" w:rsidRDefault="005715B5" w:rsidP="0003605B">
            <w:pPr>
              <w:numPr>
                <w:ilvl w:val="0"/>
                <w:numId w:val="1"/>
              </w:numPr>
              <w:spacing w:before="60" w:after="60" w:line="240" w:lineRule="auto"/>
              <w:ind w:left="318" w:hanging="284"/>
              <w:jc w:val="both"/>
              <w:rPr>
                <w:rFonts w:ascii="Times New Roman" w:hAnsi="Times New Roman"/>
                <w:b/>
                <w:color w:val="000000"/>
              </w:rPr>
            </w:pPr>
            <w:r w:rsidRPr="0003605B">
              <w:rPr>
                <w:rFonts w:ascii="Times New Roman" w:hAnsi="Times New Roman"/>
                <w:b/>
                <w:color w:val="000000"/>
              </w:rPr>
              <w:t>Podmioty, na które oddziałuje projekt</w:t>
            </w:r>
          </w:p>
        </w:tc>
      </w:tr>
      <w:tr w:rsidR="005715B5" w:rsidRPr="0003605B" w14:paraId="65F177E5" w14:textId="77777777" w:rsidTr="009C3613">
        <w:trPr>
          <w:gridAfter w:val="2"/>
          <w:wAfter w:w="7237" w:type="dxa"/>
          <w:trHeight w:val="142"/>
        </w:trPr>
        <w:tc>
          <w:tcPr>
            <w:tcW w:w="1872" w:type="dxa"/>
            <w:gridSpan w:val="2"/>
            <w:shd w:val="clear" w:color="auto" w:fill="auto"/>
          </w:tcPr>
          <w:p w14:paraId="5595F6A3" w14:textId="77777777" w:rsidR="005715B5" w:rsidRPr="0003605B" w:rsidRDefault="005715B5" w:rsidP="0003605B">
            <w:pPr>
              <w:spacing w:before="40" w:line="240" w:lineRule="auto"/>
              <w:jc w:val="center"/>
              <w:rPr>
                <w:rFonts w:ascii="Times New Roman" w:hAnsi="Times New Roman"/>
                <w:color w:val="000000"/>
                <w:spacing w:val="-2"/>
              </w:rPr>
            </w:pPr>
            <w:r w:rsidRPr="0003605B">
              <w:rPr>
                <w:rFonts w:ascii="Times New Roman" w:hAnsi="Times New Roman"/>
                <w:color w:val="000000"/>
                <w:spacing w:val="-2"/>
              </w:rPr>
              <w:t>Grupa</w:t>
            </w:r>
          </w:p>
        </w:tc>
        <w:tc>
          <w:tcPr>
            <w:tcW w:w="1843" w:type="dxa"/>
            <w:gridSpan w:val="5"/>
            <w:shd w:val="clear" w:color="auto" w:fill="auto"/>
          </w:tcPr>
          <w:p w14:paraId="7523B203" w14:textId="77777777" w:rsidR="005715B5" w:rsidRPr="0003605B" w:rsidRDefault="005715B5" w:rsidP="0003605B">
            <w:pPr>
              <w:spacing w:before="40" w:line="240" w:lineRule="auto"/>
              <w:jc w:val="center"/>
              <w:rPr>
                <w:rFonts w:ascii="Times New Roman" w:hAnsi="Times New Roman"/>
                <w:color w:val="000000"/>
                <w:spacing w:val="-2"/>
              </w:rPr>
            </w:pPr>
            <w:r w:rsidRPr="0003605B">
              <w:rPr>
                <w:rFonts w:ascii="Times New Roman" w:hAnsi="Times New Roman"/>
                <w:color w:val="000000"/>
                <w:spacing w:val="-2"/>
              </w:rPr>
              <w:t>Wielkość</w:t>
            </w:r>
          </w:p>
        </w:tc>
        <w:tc>
          <w:tcPr>
            <w:tcW w:w="1843" w:type="dxa"/>
            <w:gridSpan w:val="7"/>
            <w:shd w:val="clear" w:color="auto" w:fill="auto"/>
          </w:tcPr>
          <w:p w14:paraId="75712562" w14:textId="77777777" w:rsidR="005715B5" w:rsidRPr="0003605B" w:rsidRDefault="005715B5" w:rsidP="0003605B">
            <w:pPr>
              <w:spacing w:before="40" w:line="240" w:lineRule="auto"/>
              <w:jc w:val="center"/>
              <w:rPr>
                <w:rFonts w:ascii="Times New Roman" w:hAnsi="Times New Roman"/>
                <w:color w:val="000000"/>
                <w:spacing w:val="-2"/>
              </w:rPr>
            </w:pPr>
            <w:r w:rsidRPr="0003605B">
              <w:rPr>
                <w:rFonts w:ascii="Times New Roman" w:hAnsi="Times New Roman"/>
                <w:color w:val="000000"/>
                <w:spacing w:val="-2"/>
              </w:rPr>
              <w:t>Źródło danych</w:t>
            </w:r>
            <w:r w:rsidRPr="0003605B" w:rsidDel="00260F33">
              <w:rPr>
                <w:rFonts w:ascii="Times New Roman" w:hAnsi="Times New Roman"/>
                <w:color w:val="000000"/>
                <w:spacing w:val="-2"/>
              </w:rPr>
              <w:t xml:space="preserve"> </w:t>
            </w:r>
          </w:p>
        </w:tc>
        <w:tc>
          <w:tcPr>
            <w:tcW w:w="5380" w:type="dxa"/>
            <w:gridSpan w:val="15"/>
            <w:shd w:val="clear" w:color="auto" w:fill="auto"/>
          </w:tcPr>
          <w:p w14:paraId="10B40A07" w14:textId="77777777" w:rsidR="005715B5" w:rsidRPr="0003605B" w:rsidRDefault="005715B5" w:rsidP="0003605B">
            <w:pPr>
              <w:spacing w:before="40" w:line="240" w:lineRule="auto"/>
              <w:jc w:val="center"/>
              <w:rPr>
                <w:rFonts w:ascii="Times New Roman" w:hAnsi="Times New Roman"/>
                <w:color w:val="000000"/>
                <w:spacing w:val="-2"/>
              </w:rPr>
            </w:pPr>
            <w:r w:rsidRPr="0003605B">
              <w:rPr>
                <w:rFonts w:ascii="Times New Roman" w:hAnsi="Times New Roman"/>
                <w:color w:val="000000"/>
                <w:spacing w:val="-2"/>
              </w:rPr>
              <w:t>Oddziaływanie</w:t>
            </w:r>
          </w:p>
        </w:tc>
      </w:tr>
      <w:tr w:rsidR="000914D1" w:rsidRPr="0003605B" w14:paraId="76A70170" w14:textId="77777777" w:rsidTr="009C3613">
        <w:trPr>
          <w:gridAfter w:val="2"/>
          <w:wAfter w:w="7237" w:type="dxa"/>
          <w:trHeight w:val="142"/>
        </w:trPr>
        <w:tc>
          <w:tcPr>
            <w:tcW w:w="1872" w:type="dxa"/>
            <w:gridSpan w:val="2"/>
            <w:shd w:val="clear" w:color="auto" w:fill="auto"/>
            <w:vAlign w:val="center"/>
          </w:tcPr>
          <w:p w14:paraId="7B9185B9" w14:textId="23042B8C" w:rsidR="000914D1" w:rsidRPr="0003605B" w:rsidRDefault="00B31525" w:rsidP="0003605B">
            <w:pPr>
              <w:pStyle w:val="Default"/>
              <w:jc w:val="center"/>
              <w:rPr>
                <w:sz w:val="22"/>
                <w:szCs w:val="22"/>
              </w:rPr>
            </w:pPr>
            <w:r w:rsidRPr="0003605B">
              <w:rPr>
                <w:sz w:val="22"/>
                <w:szCs w:val="22"/>
              </w:rPr>
              <w:t>Ministerstwo Sprawiedliwości</w:t>
            </w:r>
          </w:p>
        </w:tc>
        <w:tc>
          <w:tcPr>
            <w:tcW w:w="1843" w:type="dxa"/>
            <w:gridSpan w:val="5"/>
            <w:shd w:val="clear" w:color="auto" w:fill="auto"/>
            <w:vAlign w:val="center"/>
          </w:tcPr>
          <w:p w14:paraId="436DDF66" w14:textId="1FDDAF02" w:rsidR="000914D1" w:rsidRPr="0003605B" w:rsidRDefault="00B31525" w:rsidP="0003605B">
            <w:pPr>
              <w:spacing w:line="240" w:lineRule="auto"/>
              <w:jc w:val="center"/>
              <w:rPr>
                <w:rFonts w:ascii="Times New Roman" w:hAnsi="Times New Roman"/>
                <w:color w:val="000000"/>
                <w:spacing w:val="-2"/>
              </w:rPr>
            </w:pPr>
            <w:r w:rsidRPr="0003605B">
              <w:rPr>
                <w:rFonts w:ascii="Times New Roman" w:hAnsi="Times New Roman"/>
                <w:color w:val="000000"/>
                <w:spacing w:val="-2"/>
              </w:rPr>
              <w:t>1</w:t>
            </w:r>
          </w:p>
        </w:tc>
        <w:tc>
          <w:tcPr>
            <w:tcW w:w="1843" w:type="dxa"/>
            <w:gridSpan w:val="7"/>
            <w:shd w:val="clear" w:color="auto" w:fill="auto"/>
            <w:vAlign w:val="center"/>
          </w:tcPr>
          <w:p w14:paraId="69201A34" w14:textId="0017F165" w:rsidR="000914D1" w:rsidRPr="0003605B" w:rsidRDefault="00B31525" w:rsidP="0003605B">
            <w:pPr>
              <w:suppressAutoHyphens/>
              <w:spacing w:line="240" w:lineRule="auto"/>
              <w:jc w:val="center"/>
              <w:rPr>
                <w:rFonts w:ascii="Times New Roman" w:hAnsi="Times New Roman"/>
                <w:spacing w:val="-2"/>
              </w:rPr>
            </w:pPr>
            <w:r w:rsidRPr="0003605B">
              <w:rPr>
                <w:rFonts w:ascii="Times New Roman" w:hAnsi="Times New Roman"/>
                <w:spacing w:val="-2"/>
              </w:rPr>
              <w:t>Informacja ogólnodostępna</w:t>
            </w:r>
          </w:p>
        </w:tc>
        <w:tc>
          <w:tcPr>
            <w:tcW w:w="5380" w:type="dxa"/>
            <w:gridSpan w:val="15"/>
            <w:shd w:val="clear" w:color="auto" w:fill="auto"/>
            <w:vAlign w:val="center"/>
          </w:tcPr>
          <w:p w14:paraId="27FED7BC" w14:textId="01D1958B" w:rsidR="000914D1" w:rsidRPr="0003605B" w:rsidRDefault="00034C86" w:rsidP="0003605B">
            <w:pPr>
              <w:pStyle w:val="Default"/>
              <w:jc w:val="both"/>
              <w:rPr>
                <w:sz w:val="22"/>
                <w:szCs w:val="22"/>
              </w:rPr>
            </w:pPr>
            <w:r w:rsidRPr="0003605B">
              <w:rPr>
                <w:sz w:val="22"/>
                <w:szCs w:val="22"/>
              </w:rPr>
              <w:t xml:space="preserve">Prowadzenie Krajowego Rejestru Zadłużonych </w:t>
            </w:r>
            <w:r w:rsidR="00D80B7E">
              <w:rPr>
                <w:sz w:val="22"/>
                <w:szCs w:val="22"/>
              </w:rPr>
              <w:br/>
            </w:r>
            <w:r w:rsidRPr="0003605B">
              <w:rPr>
                <w:sz w:val="22"/>
                <w:szCs w:val="22"/>
              </w:rPr>
              <w:t>i udostępnianie danych z niego na stronie Ministerstwa Sprawiedliwości.</w:t>
            </w:r>
          </w:p>
        </w:tc>
      </w:tr>
      <w:tr w:rsidR="000914D1" w:rsidRPr="0003605B" w14:paraId="1D801215" w14:textId="77777777" w:rsidTr="009C3613">
        <w:trPr>
          <w:gridAfter w:val="2"/>
          <w:wAfter w:w="7237" w:type="dxa"/>
          <w:trHeight w:val="142"/>
        </w:trPr>
        <w:tc>
          <w:tcPr>
            <w:tcW w:w="1872" w:type="dxa"/>
            <w:gridSpan w:val="2"/>
            <w:shd w:val="clear" w:color="auto" w:fill="auto"/>
            <w:vAlign w:val="center"/>
          </w:tcPr>
          <w:p w14:paraId="7FEF2417" w14:textId="70703023" w:rsidR="000914D1" w:rsidRPr="0003605B" w:rsidRDefault="00034C86" w:rsidP="0003605B">
            <w:pPr>
              <w:pStyle w:val="Default"/>
              <w:jc w:val="center"/>
              <w:rPr>
                <w:sz w:val="22"/>
                <w:szCs w:val="22"/>
              </w:rPr>
            </w:pPr>
            <w:r w:rsidRPr="0003605B">
              <w:rPr>
                <w:sz w:val="22"/>
                <w:szCs w:val="22"/>
              </w:rPr>
              <w:t>Syndycy</w:t>
            </w:r>
          </w:p>
        </w:tc>
        <w:tc>
          <w:tcPr>
            <w:tcW w:w="1843" w:type="dxa"/>
            <w:gridSpan w:val="5"/>
            <w:shd w:val="clear" w:color="auto" w:fill="auto"/>
            <w:vAlign w:val="center"/>
          </w:tcPr>
          <w:p w14:paraId="3A179376" w14:textId="4BC26FE5" w:rsidR="000914D1" w:rsidRPr="0003605B" w:rsidRDefault="00690B70" w:rsidP="0003605B">
            <w:pPr>
              <w:spacing w:line="240" w:lineRule="auto"/>
              <w:jc w:val="center"/>
              <w:rPr>
                <w:rFonts w:ascii="Times New Roman" w:hAnsi="Times New Roman"/>
                <w:color w:val="000000"/>
                <w:spacing w:val="-2"/>
              </w:rPr>
            </w:pPr>
            <w:r w:rsidRPr="0003605B">
              <w:rPr>
                <w:rFonts w:ascii="Times New Roman" w:hAnsi="Times New Roman"/>
                <w:color w:val="000000"/>
                <w:spacing w:val="-2"/>
              </w:rPr>
              <w:t>1441</w:t>
            </w:r>
          </w:p>
        </w:tc>
        <w:tc>
          <w:tcPr>
            <w:tcW w:w="1843" w:type="dxa"/>
            <w:gridSpan w:val="7"/>
            <w:shd w:val="clear" w:color="auto" w:fill="auto"/>
            <w:vAlign w:val="center"/>
          </w:tcPr>
          <w:p w14:paraId="2BCF8314" w14:textId="3AE27F53" w:rsidR="000914D1" w:rsidRPr="0003605B" w:rsidRDefault="00690B70" w:rsidP="0003605B">
            <w:pPr>
              <w:suppressAutoHyphens/>
              <w:spacing w:line="240" w:lineRule="auto"/>
              <w:jc w:val="center"/>
              <w:rPr>
                <w:rFonts w:ascii="Times New Roman" w:hAnsi="Times New Roman"/>
                <w:spacing w:val="-2"/>
              </w:rPr>
            </w:pPr>
            <w:r w:rsidRPr="0003605B">
              <w:rPr>
                <w:rFonts w:ascii="Times New Roman" w:hAnsi="Times New Roman"/>
                <w:spacing w:val="-2"/>
              </w:rPr>
              <w:t>Ministerstwo Sprawiedliwości</w:t>
            </w:r>
          </w:p>
        </w:tc>
        <w:tc>
          <w:tcPr>
            <w:tcW w:w="5380" w:type="dxa"/>
            <w:gridSpan w:val="15"/>
            <w:shd w:val="clear" w:color="auto" w:fill="auto"/>
          </w:tcPr>
          <w:p w14:paraId="52E45AE6" w14:textId="6062AD8A" w:rsidR="000914D1" w:rsidRPr="0003605B" w:rsidRDefault="00034C86" w:rsidP="0003605B">
            <w:pPr>
              <w:pStyle w:val="Default"/>
              <w:jc w:val="both"/>
              <w:rPr>
                <w:sz w:val="22"/>
                <w:szCs w:val="22"/>
              </w:rPr>
            </w:pPr>
            <w:r w:rsidRPr="0003605B">
              <w:rPr>
                <w:sz w:val="22"/>
                <w:szCs w:val="22"/>
              </w:rPr>
              <w:t xml:space="preserve">Obowiązek rejestracji sprzedaży masy upadłości </w:t>
            </w:r>
            <w:r w:rsidR="00D80B7E">
              <w:rPr>
                <w:sz w:val="22"/>
                <w:szCs w:val="22"/>
              </w:rPr>
              <w:br/>
            </w:r>
            <w:r w:rsidRPr="0003605B">
              <w:rPr>
                <w:sz w:val="22"/>
                <w:szCs w:val="22"/>
              </w:rPr>
              <w:t>w rejestrze.</w:t>
            </w:r>
          </w:p>
        </w:tc>
      </w:tr>
      <w:tr w:rsidR="005715B5" w:rsidRPr="0003605B" w14:paraId="114E7F40" w14:textId="77777777" w:rsidTr="009C3613">
        <w:trPr>
          <w:gridAfter w:val="2"/>
          <w:wAfter w:w="7237" w:type="dxa"/>
          <w:trHeight w:val="142"/>
        </w:trPr>
        <w:tc>
          <w:tcPr>
            <w:tcW w:w="1872" w:type="dxa"/>
            <w:gridSpan w:val="2"/>
            <w:shd w:val="clear" w:color="auto" w:fill="auto"/>
            <w:vAlign w:val="center"/>
          </w:tcPr>
          <w:p w14:paraId="55427204" w14:textId="77805263" w:rsidR="005715B5" w:rsidRPr="0003605B" w:rsidRDefault="002A2626" w:rsidP="0003605B">
            <w:pPr>
              <w:pStyle w:val="Default"/>
              <w:jc w:val="center"/>
              <w:rPr>
                <w:sz w:val="22"/>
                <w:szCs w:val="22"/>
              </w:rPr>
            </w:pPr>
            <w:r w:rsidRPr="0003605B">
              <w:rPr>
                <w:sz w:val="22"/>
                <w:szCs w:val="22"/>
              </w:rPr>
              <w:t>Osoby i instytucje prowadzące badania naukowe</w:t>
            </w:r>
          </w:p>
        </w:tc>
        <w:tc>
          <w:tcPr>
            <w:tcW w:w="1843" w:type="dxa"/>
            <w:gridSpan w:val="5"/>
            <w:shd w:val="clear" w:color="auto" w:fill="auto"/>
            <w:vAlign w:val="center"/>
          </w:tcPr>
          <w:p w14:paraId="711CDABE" w14:textId="7AB84436" w:rsidR="005715B5" w:rsidRPr="0003605B" w:rsidRDefault="002A2626" w:rsidP="0003605B">
            <w:pPr>
              <w:spacing w:line="240" w:lineRule="auto"/>
              <w:jc w:val="center"/>
              <w:rPr>
                <w:rFonts w:ascii="Times New Roman" w:hAnsi="Times New Roman"/>
                <w:color w:val="000000"/>
                <w:spacing w:val="-2"/>
              </w:rPr>
            </w:pPr>
            <w:r w:rsidRPr="0003605B">
              <w:rPr>
                <w:rFonts w:ascii="Times New Roman" w:hAnsi="Times New Roman"/>
                <w:color w:val="000000"/>
                <w:spacing w:val="-2"/>
              </w:rPr>
              <w:t>Brak danych</w:t>
            </w:r>
          </w:p>
        </w:tc>
        <w:tc>
          <w:tcPr>
            <w:tcW w:w="1843" w:type="dxa"/>
            <w:gridSpan w:val="7"/>
            <w:shd w:val="clear" w:color="auto" w:fill="auto"/>
            <w:vAlign w:val="center"/>
          </w:tcPr>
          <w:p w14:paraId="7B009C50" w14:textId="77777777" w:rsidR="005715B5" w:rsidRPr="0003605B" w:rsidRDefault="005715B5" w:rsidP="0003605B">
            <w:pPr>
              <w:suppressAutoHyphens/>
              <w:spacing w:line="240" w:lineRule="auto"/>
              <w:jc w:val="center"/>
              <w:rPr>
                <w:rFonts w:ascii="Times New Roman" w:hAnsi="Times New Roman"/>
                <w:spacing w:val="-2"/>
              </w:rPr>
            </w:pPr>
          </w:p>
        </w:tc>
        <w:tc>
          <w:tcPr>
            <w:tcW w:w="5380" w:type="dxa"/>
            <w:gridSpan w:val="15"/>
            <w:shd w:val="clear" w:color="auto" w:fill="auto"/>
          </w:tcPr>
          <w:p w14:paraId="61799B7A" w14:textId="0AFE7655" w:rsidR="005715B5" w:rsidRPr="0003605B" w:rsidRDefault="00034C86" w:rsidP="0003605B">
            <w:pPr>
              <w:pStyle w:val="Default"/>
              <w:jc w:val="both"/>
              <w:rPr>
                <w:sz w:val="22"/>
                <w:szCs w:val="22"/>
              </w:rPr>
            </w:pPr>
            <w:r w:rsidRPr="0003605B">
              <w:rPr>
                <w:sz w:val="22"/>
                <w:szCs w:val="22"/>
              </w:rPr>
              <w:t>Określenie zasad uzyskiwania dany</w:t>
            </w:r>
            <w:r w:rsidR="002A2626" w:rsidRPr="0003605B">
              <w:rPr>
                <w:sz w:val="22"/>
                <w:szCs w:val="22"/>
              </w:rPr>
              <w:t>ch z rejestru w celach naukowych</w:t>
            </w:r>
          </w:p>
        </w:tc>
      </w:tr>
      <w:tr w:rsidR="003A4BD3" w:rsidRPr="0003605B" w14:paraId="3C988ECD" w14:textId="77777777" w:rsidTr="009C3613">
        <w:trPr>
          <w:gridAfter w:val="2"/>
          <w:wAfter w:w="7237" w:type="dxa"/>
          <w:trHeight w:val="142"/>
        </w:trPr>
        <w:tc>
          <w:tcPr>
            <w:tcW w:w="1872" w:type="dxa"/>
            <w:gridSpan w:val="2"/>
            <w:shd w:val="clear" w:color="auto" w:fill="auto"/>
            <w:vAlign w:val="center"/>
          </w:tcPr>
          <w:p w14:paraId="0CF35777" w14:textId="63A7F856" w:rsidR="003A4BD3" w:rsidRPr="0003605B" w:rsidRDefault="003A4BD3" w:rsidP="0003605B">
            <w:pPr>
              <w:pStyle w:val="Default"/>
              <w:jc w:val="center"/>
              <w:rPr>
                <w:sz w:val="22"/>
                <w:szCs w:val="22"/>
              </w:rPr>
            </w:pPr>
            <w:r w:rsidRPr="0003605B">
              <w:rPr>
                <w:sz w:val="22"/>
                <w:szCs w:val="22"/>
              </w:rPr>
              <w:lastRenderedPageBreak/>
              <w:t>Obywatele RP</w:t>
            </w:r>
          </w:p>
        </w:tc>
        <w:tc>
          <w:tcPr>
            <w:tcW w:w="1843" w:type="dxa"/>
            <w:gridSpan w:val="5"/>
            <w:shd w:val="clear" w:color="auto" w:fill="auto"/>
            <w:vAlign w:val="center"/>
          </w:tcPr>
          <w:p w14:paraId="6E6F152B" w14:textId="3D7AA850" w:rsidR="003A4BD3" w:rsidRPr="0003605B" w:rsidRDefault="003A4BD3" w:rsidP="0003605B">
            <w:pPr>
              <w:spacing w:line="240" w:lineRule="auto"/>
              <w:jc w:val="center"/>
              <w:rPr>
                <w:rFonts w:ascii="Times New Roman" w:hAnsi="Times New Roman"/>
                <w:color w:val="000000"/>
                <w:spacing w:val="-2"/>
              </w:rPr>
            </w:pPr>
            <w:r w:rsidRPr="0003605B">
              <w:rPr>
                <w:rFonts w:ascii="Times New Roman" w:hAnsi="Times New Roman"/>
                <w:color w:val="000000"/>
                <w:spacing w:val="-2"/>
              </w:rPr>
              <w:t>około 38 352 tys. (stan na sierpień 2020 r.)</w:t>
            </w:r>
          </w:p>
        </w:tc>
        <w:tc>
          <w:tcPr>
            <w:tcW w:w="1843" w:type="dxa"/>
            <w:gridSpan w:val="7"/>
            <w:shd w:val="clear" w:color="auto" w:fill="auto"/>
            <w:vAlign w:val="center"/>
          </w:tcPr>
          <w:p w14:paraId="368C0184" w14:textId="18049D21" w:rsidR="003A4BD3" w:rsidRPr="0003605B" w:rsidRDefault="003A4BD3" w:rsidP="0003605B">
            <w:pPr>
              <w:suppressAutoHyphens/>
              <w:spacing w:line="240" w:lineRule="auto"/>
              <w:jc w:val="center"/>
              <w:rPr>
                <w:rFonts w:ascii="Times New Roman" w:hAnsi="Times New Roman"/>
                <w:spacing w:val="-2"/>
              </w:rPr>
            </w:pPr>
            <w:r w:rsidRPr="0003605B">
              <w:rPr>
                <w:rFonts w:ascii="Times New Roman" w:hAnsi="Times New Roman"/>
                <w:spacing w:val="-2"/>
              </w:rPr>
              <w:t>Główny Urząd Statystyczny</w:t>
            </w:r>
          </w:p>
        </w:tc>
        <w:tc>
          <w:tcPr>
            <w:tcW w:w="5380" w:type="dxa"/>
            <w:gridSpan w:val="15"/>
            <w:shd w:val="clear" w:color="auto" w:fill="auto"/>
          </w:tcPr>
          <w:p w14:paraId="4DB2C168" w14:textId="77777777" w:rsidR="003A4BD3" w:rsidRPr="0003605B" w:rsidRDefault="00690B70" w:rsidP="0003605B">
            <w:pPr>
              <w:pStyle w:val="Default"/>
              <w:jc w:val="both"/>
              <w:rPr>
                <w:sz w:val="22"/>
                <w:szCs w:val="22"/>
              </w:rPr>
            </w:pPr>
            <w:r w:rsidRPr="0003605B">
              <w:rPr>
                <w:sz w:val="22"/>
                <w:szCs w:val="22"/>
              </w:rPr>
              <w:t>Określenie zasad przetwarzania i udostępniania danych osób w Krajowym Rejestrze Zadłużonych.</w:t>
            </w:r>
          </w:p>
          <w:p w14:paraId="27E30940" w14:textId="77777777" w:rsidR="00690B70" w:rsidRPr="0003605B" w:rsidRDefault="00690B70" w:rsidP="0003605B">
            <w:pPr>
              <w:pStyle w:val="Default"/>
              <w:jc w:val="both"/>
              <w:rPr>
                <w:sz w:val="22"/>
                <w:szCs w:val="22"/>
              </w:rPr>
            </w:pPr>
          </w:p>
          <w:p w14:paraId="3422F833" w14:textId="7BFAFC2B" w:rsidR="00690B70" w:rsidRPr="0003605B" w:rsidRDefault="00690B70" w:rsidP="0003605B">
            <w:pPr>
              <w:pStyle w:val="Default"/>
              <w:jc w:val="both"/>
              <w:rPr>
                <w:sz w:val="22"/>
                <w:szCs w:val="22"/>
              </w:rPr>
            </w:pPr>
            <w:r w:rsidRPr="0003605B">
              <w:rPr>
                <w:sz w:val="22"/>
                <w:szCs w:val="22"/>
              </w:rPr>
              <w:t>Wzmocnienie bezpieczeństwa obrotu gospodarczego</w:t>
            </w:r>
            <w:r w:rsidR="009C3613" w:rsidRPr="0003605B">
              <w:rPr>
                <w:sz w:val="22"/>
                <w:szCs w:val="22"/>
              </w:rPr>
              <w:t>.</w:t>
            </w:r>
          </w:p>
        </w:tc>
      </w:tr>
      <w:tr w:rsidR="005715B5" w:rsidRPr="0003605B" w14:paraId="0C436E83" w14:textId="77777777" w:rsidTr="009C3613">
        <w:trPr>
          <w:gridAfter w:val="2"/>
          <w:wAfter w:w="7237" w:type="dxa"/>
          <w:trHeight w:val="302"/>
        </w:trPr>
        <w:tc>
          <w:tcPr>
            <w:tcW w:w="10938" w:type="dxa"/>
            <w:gridSpan w:val="29"/>
            <w:shd w:val="clear" w:color="auto" w:fill="99CCFF"/>
            <w:vAlign w:val="center"/>
          </w:tcPr>
          <w:p w14:paraId="0B746B42" w14:textId="77777777" w:rsidR="005715B5" w:rsidRPr="0003605B" w:rsidRDefault="005715B5" w:rsidP="0003605B">
            <w:pPr>
              <w:numPr>
                <w:ilvl w:val="0"/>
                <w:numId w:val="1"/>
              </w:numPr>
              <w:spacing w:before="60" w:after="60" w:line="240" w:lineRule="auto"/>
              <w:ind w:left="318" w:hanging="284"/>
              <w:jc w:val="both"/>
              <w:rPr>
                <w:rFonts w:ascii="Times New Roman" w:hAnsi="Times New Roman"/>
                <w:b/>
                <w:color w:val="000000"/>
              </w:rPr>
            </w:pPr>
            <w:r w:rsidRPr="0003605B">
              <w:rPr>
                <w:rFonts w:ascii="Times New Roman" w:hAnsi="Times New Roman"/>
                <w:b/>
                <w:color w:val="000000"/>
              </w:rPr>
              <w:t>Informacje na temat zakresu, czasu trwania i podsumowanie wyników konsultacji</w:t>
            </w:r>
          </w:p>
        </w:tc>
      </w:tr>
      <w:tr w:rsidR="005715B5" w:rsidRPr="0003605B" w14:paraId="71F78249" w14:textId="77777777" w:rsidTr="009C3613">
        <w:trPr>
          <w:gridAfter w:val="2"/>
          <w:wAfter w:w="7237" w:type="dxa"/>
          <w:trHeight w:val="342"/>
        </w:trPr>
        <w:tc>
          <w:tcPr>
            <w:tcW w:w="10938" w:type="dxa"/>
            <w:gridSpan w:val="29"/>
            <w:shd w:val="clear" w:color="auto" w:fill="FFFFFF"/>
          </w:tcPr>
          <w:p w14:paraId="72E3E6F3" w14:textId="77777777" w:rsidR="005715B5" w:rsidRPr="0003605B" w:rsidRDefault="00382D65" w:rsidP="0003605B">
            <w:pPr>
              <w:pStyle w:val="NIEARTTEKSTtekstnieartykuowanynppodstprawnarozplubpreambua"/>
              <w:spacing w:before="0" w:line="240" w:lineRule="auto"/>
              <w:ind w:firstLine="0"/>
              <w:rPr>
                <w:rFonts w:ascii="Times New Roman" w:hAnsi="Times New Roman" w:cs="Times New Roman"/>
                <w:sz w:val="22"/>
                <w:szCs w:val="18"/>
              </w:rPr>
            </w:pPr>
            <w:r w:rsidRPr="0003605B">
              <w:rPr>
                <w:rFonts w:ascii="Times New Roman" w:hAnsi="Times New Roman" w:cs="Times New Roman"/>
                <w:sz w:val="22"/>
                <w:szCs w:val="18"/>
              </w:rPr>
              <w:t xml:space="preserve">Projekt </w:t>
            </w:r>
            <w:r w:rsidR="00340B8F" w:rsidRPr="0003605B">
              <w:rPr>
                <w:rFonts w:ascii="Times New Roman" w:hAnsi="Times New Roman" w:cs="Times New Roman"/>
                <w:sz w:val="22"/>
                <w:szCs w:val="18"/>
              </w:rPr>
              <w:t>rozporządzenia</w:t>
            </w:r>
            <w:r w:rsidRPr="0003605B">
              <w:rPr>
                <w:rFonts w:ascii="Times New Roman" w:hAnsi="Times New Roman" w:cs="Times New Roman"/>
                <w:sz w:val="22"/>
                <w:szCs w:val="18"/>
              </w:rPr>
              <w:t xml:space="preserve"> zostanie udostępniony w Biuletynie Informacji Publicznej na stronie podmiotowej Rządowego Centrum Legislacji w serwisie Rządowy Proces Legislacyjny z chwilą przekazania projektu do uzgodnień z członkami Rady Ministrów, zgodnie z art. 5 ustawy z dnia 7 lipca 2005 r</w:t>
            </w:r>
            <w:r w:rsidRPr="0003605B">
              <w:rPr>
                <w:rFonts w:ascii="Times New Roman" w:hAnsi="Times New Roman" w:cs="Times New Roman"/>
                <w:i/>
                <w:iCs/>
                <w:sz w:val="22"/>
                <w:szCs w:val="18"/>
              </w:rPr>
              <w:t>. o działalności lobbingowej w procesie stanowienia prawa</w:t>
            </w:r>
            <w:r w:rsidRPr="0003605B">
              <w:rPr>
                <w:rFonts w:ascii="Times New Roman" w:hAnsi="Times New Roman" w:cs="Times New Roman"/>
                <w:sz w:val="22"/>
                <w:szCs w:val="18"/>
              </w:rPr>
              <w:t xml:space="preserve"> (Dz. U. z 2017 r. poz. 248) i § 4 uchwały Rady Ministrów z dnia 29 października 2013 r. – </w:t>
            </w:r>
            <w:r w:rsidRPr="0003605B">
              <w:rPr>
                <w:rFonts w:ascii="Times New Roman" w:hAnsi="Times New Roman" w:cs="Times New Roman"/>
                <w:i/>
                <w:iCs/>
                <w:sz w:val="22"/>
                <w:szCs w:val="18"/>
              </w:rPr>
              <w:t xml:space="preserve">Regulamin pracy Rady Ministrów </w:t>
            </w:r>
            <w:r w:rsidRPr="0003605B">
              <w:rPr>
                <w:rFonts w:ascii="Times New Roman" w:hAnsi="Times New Roman" w:cs="Times New Roman"/>
                <w:sz w:val="22"/>
                <w:szCs w:val="18"/>
              </w:rPr>
              <w:t>(M.</w:t>
            </w:r>
            <w:r w:rsidR="00E4189F" w:rsidRPr="0003605B">
              <w:rPr>
                <w:rFonts w:ascii="Times New Roman" w:hAnsi="Times New Roman" w:cs="Times New Roman"/>
                <w:sz w:val="22"/>
                <w:szCs w:val="18"/>
              </w:rPr>
              <w:t xml:space="preserve"> </w:t>
            </w:r>
            <w:r w:rsidRPr="0003605B">
              <w:rPr>
                <w:rFonts w:ascii="Times New Roman" w:hAnsi="Times New Roman" w:cs="Times New Roman"/>
                <w:sz w:val="22"/>
                <w:szCs w:val="18"/>
              </w:rPr>
              <w:t xml:space="preserve">P. z 2016 r. poz. 1006 z </w:t>
            </w:r>
            <w:proofErr w:type="spellStart"/>
            <w:r w:rsidRPr="0003605B">
              <w:rPr>
                <w:rFonts w:ascii="Times New Roman" w:hAnsi="Times New Roman" w:cs="Times New Roman"/>
                <w:sz w:val="22"/>
                <w:szCs w:val="18"/>
              </w:rPr>
              <w:t>późn</w:t>
            </w:r>
            <w:proofErr w:type="spellEnd"/>
            <w:r w:rsidRPr="0003605B">
              <w:rPr>
                <w:rFonts w:ascii="Times New Roman" w:hAnsi="Times New Roman" w:cs="Times New Roman"/>
                <w:sz w:val="22"/>
                <w:szCs w:val="18"/>
              </w:rPr>
              <w:t>. zm.).</w:t>
            </w:r>
          </w:p>
          <w:p w14:paraId="46537644" w14:textId="77777777" w:rsidR="003945AD" w:rsidRPr="0003605B" w:rsidRDefault="003945AD" w:rsidP="0003605B">
            <w:pPr>
              <w:spacing w:line="240" w:lineRule="auto"/>
              <w:jc w:val="both"/>
              <w:rPr>
                <w:rFonts w:ascii="Times New Roman" w:hAnsi="Times New Roman"/>
                <w:spacing w:val="-2"/>
              </w:rPr>
            </w:pPr>
            <w:r w:rsidRPr="0003605B">
              <w:rPr>
                <w:rFonts w:ascii="Times New Roman" w:hAnsi="Times New Roman"/>
                <w:spacing w:val="-2"/>
              </w:rPr>
              <w:t xml:space="preserve">Przedmiotowy projekt został przesłany do konsultacji społecznych do następujących organizacji: </w:t>
            </w:r>
          </w:p>
          <w:p w14:paraId="0AECE10E"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Biura Informacji Kredytowej;</w:t>
            </w:r>
          </w:p>
          <w:p w14:paraId="3C827B1A"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Stowarzyszenia Sędziów Polskich „</w:t>
            </w:r>
            <w:proofErr w:type="spellStart"/>
            <w:r w:rsidRPr="0003605B">
              <w:rPr>
                <w:rFonts w:ascii="Times New Roman" w:eastAsia="Times New Roman" w:hAnsi="Times New Roman"/>
                <w:lang w:eastAsia="pl-PL"/>
              </w:rPr>
              <w:t>Iustitia</w:t>
            </w:r>
            <w:proofErr w:type="spellEnd"/>
            <w:r w:rsidRPr="0003605B">
              <w:rPr>
                <w:rFonts w:ascii="Times New Roman" w:eastAsia="Times New Roman" w:hAnsi="Times New Roman"/>
                <w:lang w:eastAsia="pl-PL"/>
              </w:rPr>
              <w:t>”;</w:t>
            </w:r>
          </w:p>
          <w:p w14:paraId="74B963F1"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Stowarzyszenia Sędziów „</w:t>
            </w:r>
            <w:proofErr w:type="spellStart"/>
            <w:r w:rsidRPr="0003605B">
              <w:rPr>
                <w:rFonts w:ascii="Times New Roman" w:eastAsia="Times New Roman" w:hAnsi="Times New Roman"/>
                <w:lang w:eastAsia="pl-PL"/>
              </w:rPr>
              <w:t>Themis</w:t>
            </w:r>
            <w:proofErr w:type="spellEnd"/>
            <w:r w:rsidRPr="0003605B">
              <w:rPr>
                <w:rFonts w:ascii="Times New Roman" w:eastAsia="Times New Roman" w:hAnsi="Times New Roman"/>
                <w:lang w:eastAsia="pl-PL"/>
              </w:rPr>
              <w:t xml:space="preserve">”; </w:t>
            </w:r>
          </w:p>
          <w:p w14:paraId="073C0A0B"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Fundacji Polskie Towarzystwo Prawnicze Opus Iuris;</w:t>
            </w:r>
          </w:p>
          <w:p w14:paraId="2559F448"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Stowarzyszenia Sędziów Upadłościowych i Restrukturyzacyjnych;</w:t>
            </w:r>
          </w:p>
          <w:p w14:paraId="06FD2F0C"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Krajowej Izby Doradców Restrukturyzacyjnych;</w:t>
            </w:r>
          </w:p>
          <w:p w14:paraId="3A029E60"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Stowarzyszenia Syndyków Polskich;</w:t>
            </w:r>
          </w:p>
          <w:p w14:paraId="11829980"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Stowarzyszenia Praktyków Restrukturyzacji;</w:t>
            </w:r>
          </w:p>
          <w:p w14:paraId="5A47880F"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 xml:space="preserve">Instytutu </w:t>
            </w:r>
            <w:proofErr w:type="spellStart"/>
            <w:r w:rsidRPr="0003605B">
              <w:rPr>
                <w:rFonts w:ascii="Times New Roman" w:eastAsia="Times New Roman" w:hAnsi="Times New Roman"/>
                <w:lang w:eastAsia="pl-PL"/>
              </w:rPr>
              <w:t>Allerhanda</w:t>
            </w:r>
            <w:proofErr w:type="spellEnd"/>
            <w:r w:rsidRPr="0003605B">
              <w:rPr>
                <w:rFonts w:ascii="Times New Roman" w:eastAsia="Times New Roman" w:hAnsi="Times New Roman"/>
                <w:lang w:eastAsia="pl-PL"/>
              </w:rPr>
              <w:t xml:space="preserve"> w Krakowie;</w:t>
            </w:r>
          </w:p>
          <w:p w14:paraId="053B8903"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Instytutu Prawa Upadłościowego i Restrukturyzacyjnego Uczelni Łazarskiego;</w:t>
            </w:r>
          </w:p>
          <w:p w14:paraId="5803D83C"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Naczelnej Rady Adwokackiej;</w:t>
            </w:r>
          </w:p>
          <w:p w14:paraId="268B4CB7"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Krajowej Izby Radców Prawnych;</w:t>
            </w:r>
          </w:p>
          <w:p w14:paraId="490AD6EE"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Krajowej Rady Notarialnej;</w:t>
            </w:r>
          </w:p>
          <w:p w14:paraId="3FE4491E"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Krajowej Rady Komorniczej;</w:t>
            </w:r>
          </w:p>
          <w:p w14:paraId="33D5E9E0"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Związku Banków Polskich;</w:t>
            </w:r>
          </w:p>
          <w:p w14:paraId="307A1862"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Ogólnopolskiego Stowarzyszenia Asystentów Sędziów;</w:t>
            </w:r>
          </w:p>
          <w:p w14:paraId="5706318E"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Ogólnopolskiego Stowarzyszenia Referendarzy Sądowych;</w:t>
            </w:r>
          </w:p>
          <w:p w14:paraId="23A7F924"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Stowarzyszenia Referendarzy Sądowych Rzeczypospolitej Polskiej;</w:t>
            </w:r>
          </w:p>
          <w:p w14:paraId="7E0DAAC6"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Organizacji Pracodawców RP;</w:t>
            </w:r>
          </w:p>
          <w:p w14:paraId="6D5D5FD1"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Business Center Club;</w:t>
            </w:r>
          </w:p>
          <w:p w14:paraId="3231D8BA"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Krajowej Izby Gospodarczej;</w:t>
            </w:r>
          </w:p>
          <w:p w14:paraId="3D541E87"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Związku Przedsiębiorstw Finansowych w Polsce;</w:t>
            </w:r>
          </w:p>
          <w:p w14:paraId="5F23FB68"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Polskiej Konfederacji Pracodawców Prywatnych „Lewiatan”;</w:t>
            </w:r>
          </w:p>
          <w:p w14:paraId="0270A0DF"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Związku Rzemiosła Polskiego;</w:t>
            </w:r>
          </w:p>
          <w:p w14:paraId="35D8478E"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Porozumienia Samorządów Zawodowych i Stowarzyszeń Prawniczych;</w:t>
            </w:r>
          </w:p>
          <w:p w14:paraId="453DE370"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Związku Przedsiębiorców i Pracodawców;</w:t>
            </w:r>
          </w:p>
          <w:p w14:paraId="724B09CA"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Polskiej Rady Biznesu;</w:t>
            </w:r>
          </w:p>
          <w:p w14:paraId="43C37CE0"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Poczty Polskiej S.A.;</w:t>
            </w:r>
          </w:p>
          <w:p w14:paraId="3D9A65D5"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Federacji Związków Pracodawców Ochrony Zdrowia „Porozumienie Zielonogórskie”;</w:t>
            </w:r>
          </w:p>
          <w:p w14:paraId="674168A7"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Komisji Krajowej NSZZ „Solidarność”;</w:t>
            </w:r>
          </w:p>
          <w:p w14:paraId="5358CB6C"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Krajowego Niezależnego Samorządnego Związku Zawodowego „Ad Rem”;</w:t>
            </w:r>
          </w:p>
          <w:p w14:paraId="1080D8A3"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Niezależnego Samorządnego Związku Zawodowego Pracowników Wymiaru Sprawiedliwości Rzeczypospolitej Polskiej;</w:t>
            </w:r>
          </w:p>
          <w:p w14:paraId="3A0395FE"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Urzędu Ochrony Konkurencji i Konsumentów;</w:t>
            </w:r>
          </w:p>
          <w:p w14:paraId="369E14A1"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Polskiego Związku Instytucji Pożyczkowych;</w:t>
            </w:r>
          </w:p>
          <w:p w14:paraId="698A38C8"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Komisji Nadzoru Finansowego;</w:t>
            </w:r>
          </w:p>
          <w:p w14:paraId="76B137C1"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 xml:space="preserve">Zakładu Ubezpieczeń Społecznych; </w:t>
            </w:r>
          </w:p>
          <w:p w14:paraId="07B4E4EC"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Prokuratorii Generalnej;</w:t>
            </w:r>
          </w:p>
          <w:p w14:paraId="41BEE450" w14:textId="77777777" w:rsidR="003945AD" w:rsidRPr="0003605B" w:rsidRDefault="003945AD"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Sądowi Najwyższemu;</w:t>
            </w:r>
          </w:p>
          <w:p w14:paraId="56AC1000" w14:textId="77777777" w:rsidR="005F54A6" w:rsidRPr="0003605B" w:rsidRDefault="005F54A6"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Krajowej Radzie Sądownictwa;</w:t>
            </w:r>
          </w:p>
          <w:p w14:paraId="21EEA678" w14:textId="35C6DE68" w:rsidR="005F54A6" w:rsidRPr="0003605B" w:rsidRDefault="005F54A6"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Prezesowi Urzędu Ochrony Danych Osobowych;</w:t>
            </w:r>
          </w:p>
          <w:p w14:paraId="5B751498" w14:textId="77777777" w:rsidR="005F54A6" w:rsidRPr="0003605B" w:rsidRDefault="005F54A6"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Naczelnemu Sądowi Administracyjnemu;</w:t>
            </w:r>
          </w:p>
          <w:p w14:paraId="306839D7" w14:textId="77777777" w:rsidR="0003605B" w:rsidRDefault="005F54A6"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Prokuratorowi Krajowemu;</w:t>
            </w:r>
          </w:p>
          <w:p w14:paraId="7C0BF65F" w14:textId="1BD0B2CE" w:rsidR="003945AD" w:rsidRPr="0003605B" w:rsidRDefault="005F54A6" w:rsidP="0003605B">
            <w:pPr>
              <w:numPr>
                <w:ilvl w:val="0"/>
                <w:numId w:val="3"/>
              </w:numPr>
              <w:spacing w:line="240" w:lineRule="auto"/>
              <w:jc w:val="both"/>
              <w:rPr>
                <w:rFonts w:ascii="Times New Roman" w:eastAsia="Times New Roman" w:hAnsi="Times New Roman"/>
                <w:lang w:eastAsia="pl-PL"/>
              </w:rPr>
            </w:pPr>
            <w:r w:rsidRPr="0003605B">
              <w:rPr>
                <w:rFonts w:ascii="Times New Roman" w:eastAsia="Times New Roman" w:hAnsi="Times New Roman"/>
                <w:lang w:eastAsia="pl-PL"/>
              </w:rPr>
              <w:t>Sądom Apelacyjnym.</w:t>
            </w:r>
          </w:p>
        </w:tc>
      </w:tr>
      <w:tr w:rsidR="005715B5" w:rsidRPr="0003605B" w14:paraId="32572926" w14:textId="77777777" w:rsidTr="009C3613">
        <w:trPr>
          <w:gridAfter w:val="2"/>
          <w:wAfter w:w="7237" w:type="dxa"/>
          <w:trHeight w:val="363"/>
        </w:trPr>
        <w:tc>
          <w:tcPr>
            <w:tcW w:w="10938" w:type="dxa"/>
            <w:gridSpan w:val="29"/>
            <w:shd w:val="clear" w:color="auto" w:fill="99CCFF"/>
            <w:vAlign w:val="center"/>
          </w:tcPr>
          <w:p w14:paraId="3F4E1A63" w14:textId="77777777" w:rsidR="005715B5" w:rsidRPr="0003605B" w:rsidRDefault="005715B5" w:rsidP="0003605B">
            <w:pPr>
              <w:numPr>
                <w:ilvl w:val="0"/>
                <w:numId w:val="1"/>
              </w:numPr>
              <w:spacing w:before="60" w:after="60" w:line="240" w:lineRule="auto"/>
              <w:ind w:left="318" w:hanging="284"/>
              <w:jc w:val="both"/>
              <w:rPr>
                <w:rFonts w:ascii="Times New Roman" w:hAnsi="Times New Roman"/>
                <w:b/>
                <w:color w:val="000000"/>
              </w:rPr>
            </w:pPr>
            <w:r w:rsidRPr="0003605B">
              <w:rPr>
                <w:rFonts w:ascii="Times New Roman" w:hAnsi="Times New Roman"/>
                <w:b/>
                <w:color w:val="000000"/>
              </w:rPr>
              <w:t xml:space="preserve"> Wpływ na sektor finansów publicznych</w:t>
            </w:r>
          </w:p>
        </w:tc>
      </w:tr>
      <w:tr w:rsidR="005715B5" w:rsidRPr="0003605B" w14:paraId="2C4A887F" w14:textId="77777777" w:rsidTr="009C3613">
        <w:trPr>
          <w:gridAfter w:val="2"/>
          <w:wAfter w:w="7237" w:type="dxa"/>
          <w:trHeight w:val="142"/>
        </w:trPr>
        <w:tc>
          <w:tcPr>
            <w:tcW w:w="3132" w:type="dxa"/>
            <w:gridSpan w:val="4"/>
            <w:vMerge w:val="restart"/>
            <w:shd w:val="clear" w:color="auto" w:fill="FFFFFF"/>
          </w:tcPr>
          <w:p w14:paraId="54D260D5" w14:textId="21CB9E40" w:rsidR="005715B5" w:rsidRPr="0003605B" w:rsidRDefault="005715B5" w:rsidP="0003605B">
            <w:pPr>
              <w:spacing w:before="40" w:after="40" w:line="240" w:lineRule="auto"/>
              <w:rPr>
                <w:rFonts w:ascii="Times New Roman" w:hAnsi="Times New Roman"/>
                <w:i/>
                <w:color w:val="000000"/>
              </w:rPr>
            </w:pPr>
            <w:r w:rsidRPr="0003605B">
              <w:rPr>
                <w:rFonts w:ascii="Times New Roman" w:hAnsi="Times New Roman"/>
                <w:color w:val="000000"/>
              </w:rPr>
              <w:t xml:space="preserve">(ceny stałe z </w:t>
            </w:r>
            <w:r w:rsidR="00382D65" w:rsidRPr="0003605B">
              <w:rPr>
                <w:rFonts w:ascii="Times New Roman" w:hAnsi="Times New Roman"/>
                <w:color w:val="000000"/>
              </w:rPr>
              <w:t xml:space="preserve">2020 </w:t>
            </w:r>
            <w:r w:rsidRPr="0003605B">
              <w:rPr>
                <w:rFonts w:ascii="Times New Roman" w:hAnsi="Times New Roman"/>
                <w:color w:val="000000"/>
              </w:rPr>
              <w:t>r.)</w:t>
            </w:r>
          </w:p>
        </w:tc>
        <w:tc>
          <w:tcPr>
            <w:tcW w:w="7806" w:type="dxa"/>
            <w:gridSpan w:val="25"/>
            <w:shd w:val="clear" w:color="auto" w:fill="FFFFFF"/>
          </w:tcPr>
          <w:p w14:paraId="25D9B6E7" w14:textId="77777777" w:rsidR="005715B5" w:rsidRPr="0003605B" w:rsidRDefault="005715B5" w:rsidP="0003605B">
            <w:pPr>
              <w:spacing w:before="40" w:after="40" w:line="240" w:lineRule="auto"/>
              <w:jc w:val="center"/>
              <w:rPr>
                <w:rFonts w:ascii="Times New Roman" w:hAnsi="Times New Roman"/>
                <w:i/>
                <w:color w:val="000000"/>
                <w:spacing w:val="-2"/>
              </w:rPr>
            </w:pPr>
            <w:r w:rsidRPr="0003605B">
              <w:rPr>
                <w:rFonts w:ascii="Times New Roman" w:hAnsi="Times New Roman"/>
                <w:color w:val="000000"/>
              </w:rPr>
              <w:t>Skutki w okresie 10 lat od wejścia w życie zmian [mln zł]</w:t>
            </w:r>
          </w:p>
        </w:tc>
      </w:tr>
      <w:tr w:rsidR="005715B5" w:rsidRPr="0003605B" w14:paraId="2E340EC0" w14:textId="77777777" w:rsidTr="00D92117">
        <w:trPr>
          <w:gridAfter w:val="2"/>
          <w:wAfter w:w="7237" w:type="dxa"/>
          <w:trHeight w:val="142"/>
        </w:trPr>
        <w:tc>
          <w:tcPr>
            <w:tcW w:w="3132" w:type="dxa"/>
            <w:gridSpan w:val="4"/>
            <w:vMerge/>
            <w:shd w:val="clear" w:color="auto" w:fill="FFFFFF"/>
          </w:tcPr>
          <w:p w14:paraId="42633C0A" w14:textId="77777777" w:rsidR="005715B5" w:rsidRPr="0003605B" w:rsidRDefault="005715B5" w:rsidP="0003605B">
            <w:pPr>
              <w:spacing w:before="40" w:after="40" w:line="240" w:lineRule="auto"/>
              <w:rPr>
                <w:rFonts w:ascii="Times New Roman" w:hAnsi="Times New Roman"/>
                <w:i/>
                <w:color w:val="000000"/>
              </w:rPr>
            </w:pPr>
          </w:p>
        </w:tc>
        <w:tc>
          <w:tcPr>
            <w:tcW w:w="569" w:type="dxa"/>
            <w:gridSpan w:val="2"/>
            <w:shd w:val="clear" w:color="auto" w:fill="FFFFFF"/>
          </w:tcPr>
          <w:p w14:paraId="7403258B"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0</w:t>
            </w:r>
          </w:p>
        </w:tc>
        <w:tc>
          <w:tcPr>
            <w:tcW w:w="570" w:type="dxa"/>
            <w:gridSpan w:val="3"/>
            <w:shd w:val="clear" w:color="auto" w:fill="FFFFFF"/>
          </w:tcPr>
          <w:p w14:paraId="37C44480"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1</w:t>
            </w:r>
          </w:p>
        </w:tc>
        <w:tc>
          <w:tcPr>
            <w:tcW w:w="570" w:type="dxa"/>
            <w:gridSpan w:val="2"/>
            <w:shd w:val="clear" w:color="auto" w:fill="FFFFFF"/>
          </w:tcPr>
          <w:p w14:paraId="7F84B7D7"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2</w:t>
            </w:r>
          </w:p>
        </w:tc>
        <w:tc>
          <w:tcPr>
            <w:tcW w:w="569" w:type="dxa"/>
            <w:gridSpan w:val="2"/>
            <w:shd w:val="clear" w:color="auto" w:fill="FFFFFF"/>
          </w:tcPr>
          <w:p w14:paraId="218DAF0A"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3</w:t>
            </w:r>
          </w:p>
        </w:tc>
        <w:tc>
          <w:tcPr>
            <w:tcW w:w="573" w:type="dxa"/>
            <w:gridSpan w:val="3"/>
            <w:shd w:val="clear" w:color="auto" w:fill="FFFFFF"/>
          </w:tcPr>
          <w:p w14:paraId="5380D6E4"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4</w:t>
            </w:r>
          </w:p>
        </w:tc>
        <w:tc>
          <w:tcPr>
            <w:tcW w:w="569" w:type="dxa"/>
            <w:shd w:val="clear" w:color="auto" w:fill="FFFFFF"/>
          </w:tcPr>
          <w:p w14:paraId="10C0D4E1"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5</w:t>
            </w:r>
          </w:p>
        </w:tc>
        <w:tc>
          <w:tcPr>
            <w:tcW w:w="570" w:type="dxa"/>
            <w:gridSpan w:val="3"/>
            <w:shd w:val="clear" w:color="auto" w:fill="FFFFFF"/>
          </w:tcPr>
          <w:p w14:paraId="50B36C5E"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6</w:t>
            </w:r>
          </w:p>
        </w:tc>
        <w:tc>
          <w:tcPr>
            <w:tcW w:w="569" w:type="dxa"/>
            <w:gridSpan w:val="3"/>
            <w:shd w:val="clear" w:color="auto" w:fill="FFFFFF"/>
          </w:tcPr>
          <w:p w14:paraId="0E512792"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7</w:t>
            </w:r>
          </w:p>
        </w:tc>
        <w:tc>
          <w:tcPr>
            <w:tcW w:w="570" w:type="dxa"/>
            <w:shd w:val="clear" w:color="auto" w:fill="FFFFFF"/>
          </w:tcPr>
          <w:p w14:paraId="5A67C236"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8</w:t>
            </w:r>
          </w:p>
        </w:tc>
        <w:tc>
          <w:tcPr>
            <w:tcW w:w="570" w:type="dxa"/>
            <w:gridSpan w:val="2"/>
            <w:shd w:val="clear" w:color="auto" w:fill="FFFFFF"/>
          </w:tcPr>
          <w:p w14:paraId="599277F8"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9</w:t>
            </w:r>
          </w:p>
        </w:tc>
        <w:tc>
          <w:tcPr>
            <w:tcW w:w="570" w:type="dxa"/>
            <w:shd w:val="clear" w:color="auto" w:fill="FFFFFF"/>
          </w:tcPr>
          <w:p w14:paraId="63114394"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10</w:t>
            </w:r>
          </w:p>
        </w:tc>
        <w:tc>
          <w:tcPr>
            <w:tcW w:w="1537" w:type="dxa"/>
            <w:gridSpan w:val="2"/>
            <w:shd w:val="clear" w:color="auto" w:fill="FFFFFF"/>
          </w:tcPr>
          <w:p w14:paraId="285A607B" w14:textId="77777777" w:rsidR="005715B5" w:rsidRPr="0003605B" w:rsidRDefault="005715B5" w:rsidP="0003605B">
            <w:pPr>
              <w:spacing w:before="40" w:after="40" w:line="240" w:lineRule="auto"/>
              <w:jc w:val="center"/>
              <w:rPr>
                <w:rFonts w:ascii="Times New Roman" w:hAnsi="Times New Roman"/>
                <w:i/>
                <w:color w:val="000000"/>
                <w:spacing w:val="-2"/>
              </w:rPr>
            </w:pPr>
            <w:r w:rsidRPr="0003605B">
              <w:rPr>
                <w:rFonts w:ascii="Times New Roman" w:hAnsi="Times New Roman"/>
                <w:i/>
                <w:color w:val="000000"/>
                <w:spacing w:val="-2"/>
              </w:rPr>
              <w:t>Łącznie (0-10)</w:t>
            </w:r>
          </w:p>
        </w:tc>
      </w:tr>
      <w:tr w:rsidR="005715B5" w:rsidRPr="0003605B" w14:paraId="11703E97" w14:textId="77777777" w:rsidTr="00D92117">
        <w:trPr>
          <w:gridAfter w:val="1"/>
          <w:wAfter w:w="7227" w:type="dxa"/>
          <w:trHeight w:val="321"/>
        </w:trPr>
        <w:tc>
          <w:tcPr>
            <w:tcW w:w="3132" w:type="dxa"/>
            <w:gridSpan w:val="4"/>
            <w:shd w:val="clear" w:color="auto" w:fill="FFFFFF"/>
            <w:vAlign w:val="center"/>
          </w:tcPr>
          <w:p w14:paraId="1E269AD8"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b/>
                <w:color w:val="000000"/>
              </w:rPr>
              <w:t>Dochody ogółem</w:t>
            </w:r>
          </w:p>
        </w:tc>
        <w:tc>
          <w:tcPr>
            <w:tcW w:w="569" w:type="dxa"/>
            <w:gridSpan w:val="2"/>
            <w:shd w:val="clear" w:color="auto" w:fill="FFFFFF"/>
          </w:tcPr>
          <w:p w14:paraId="4A0F01B2"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3CC0F077"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50D5E729" w14:textId="77777777" w:rsidR="005715B5" w:rsidRPr="0003605B" w:rsidRDefault="005715B5" w:rsidP="0003605B">
            <w:pPr>
              <w:spacing w:line="240" w:lineRule="auto"/>
              <w:rPr>
                <w:rFonts w:ascii="Times New Roman" w:hAnsi="Times New Roman"/>
                <w:color w:val="000000"/>
              </w:rPr>
            </w:pPr>
          </w:p>
        </w:tc>
        <w:tc>
          <w:tcPr>
            <w:tcW w:w="569" w:type="dxa"/>
            <w:gridSpan w:val="2"/>
            <w:shd w:val="clear" w:color="auto" w:fill="FFFFFF"/>
          </w:tcPr>
          <w:p w14:paraId="3911F93F" w14:textId="77777777" w:rsidR="005715B5" w:rsidRPr="0003605B" w:rsidRDefault="005715B5" w:rsidP="0003605B">
            <w:pPr>
              <w:spacing w:line="240" w:lineRule="auto"/>
              <w:rPr>
                <w:rFonts w:ascii="Times New Roman" w:hAnsi="Times New Roman"/>
                <w:color w:val="000000"/>
              </w:rPr>
            </w:pPr>
          </w:p>
        </w:tc>
        <w:tc>
          <w:tcPr>
            <w:tcW w:w="573" w:type="dxa"/>
            <w:gridSpan w:val="3"/>
            <w:shd w:val="clear" w:color="auto" w:fill="FFFFFF"/>
          </w:tcPr>
          <w:p w14:paraId="0193A834" w14:textId="77777777" w:rsidR="005715B5" w:rsidRPr="0003605B" w:rsidRDefault="005715B5" w:rsidP="0003605B">
            <w:pPr>
              <w:spacing w:line="240" w:lineRule="auto"/>
              <w:rPr>
                <w:rFonts w:ascii="Times New Roman" w:hAnsi="Times New Roman"/>
                <w:color w:val="000000"/>
              </w:rPr>
            </w:pPr>
          </w:p>
        </w:tc>
        <w:tc>
          <w:tcPr>
            <w:tcW w:w="569" w:type="dxa"/>
            <w:shd w:val="clear" w:color="auto" w:fill="FFFFFF"/>
          </w:tcPr>
          <w:p w14:paraId="18A87CDA"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12CA8640" w14:textId="77777777" w:rsidR="005715B5" w:rsidRPr="0003605B" w:rsidRDefault="005715B5" w:rsidP="0003605B">
            <w:pPr>
              <w:spacing w:line="240" w:lineRule="auto"/>
              <w:rPr>
                <w:rFonts w:ascii="Times New Roman" w:hAnsi="Times New Roman"/>
                <w:color w:val="000000"/>
              </w:rPr>
            </w:pPr>
          </w:p>
        </w:tc>
        <w:tc>
          <w:tcPr>
            <w:tcW w:w="569" w:type="dxa"/>
            <w:gridSpan w:val="3"/>
            <w:shd w:val="clear" w:color="auto" w:fill="FFFFFF"/>
          </w:tcPr>
          <w:p w14:paraId="7E8CF610"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00C8BDD6"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302779E8"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757C97D7" w14:textId="77777777" w:rsidR="005715B5" w:rsidRPr="0003605B" w:rsidRDefault="005715B5" w:rsidP="0003605B">
            <w:pPr>
              <w:spacing w:line="240" w:lineRule="auto"/>
              <w:rPr>
                <w:rFonts w:ascii="Times New Roman" w:hAnsi="Times New Roman"/>
                <w:color w:val="000000"/>
              </w:rPr>
            </w:pPr>
          </w:p>
        </w:tc>
        <w:tc>
          <w:tcPr>
            <w:tcW w:w="1547" w:type="dxa"/>
            <w:gridSpan w:val="3"/>
            <w:shd w:val="clear" w:color="auto" w:fill="FFFFFF"/>
          </w:tcPr>
          <w:p w14:paraId="47DA014A" w14:textId="77777777" w:rsidR="005715B5" w:rsidRPr="0003605B" w:rsidRDefault="005715B5" w:rsidP="0003605B">
            <w:pPr>
              <w:spacing w:line="240" w:lineRule="auto"/>
              <w:rPr>
                <w:rFonts w:ascii="Times New Roman" w:hAnsi="Times New Roman"/>
                <w:color w:val="000000"/>
                <w:spacing w:val="-2"/>
              </w:rPr>
            </w:pPr>
          </w:p>
        </w:tc>
      </w:tr>
      <w:tr w:rsidR="005715B5" w:rsidRPr="0003605B" w14:paraId="0EBBAAF9" w14:textId="77777777" w:rsidTr="00D92117">
        <w:trPr>
          <w:gridAfter w:val="1"/>
          <w:wAfter w:w="7227" w:type="dxa"/>
          <w:trHeight w:val="321"/>
        </w:trPr>
        <w:tc>
          <w:tcPr>
            <w:tcW w:w="3132" w:type="dxa"/>
            <w:gridSpan w:val="4"/>
            <w:shd w:val="clear" w:color="auto" w:fill="FFFFFF"/>
            <w:vAlign w:val="center"/>
          </w:tcPr>
          <w:p w14:paraId="1A1DDE01"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lastRenderedPageBreak/>
              <w:t>budżet państwa</w:t>
            </w:r>
          </w:p>
        </w:tc>
        <w:tc>
          <w:tcPr>
            <w:tcW w:w="569" w:type="dxa"/>
            <w:gridSpan w:val="2"/>
            <w:shd w:val="clear" w:color="auto" w:fill="FFFFFF"/>
          </w:tcPr>
          <w:p w14:paraId="06DA9A38"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0B5AFF42"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3CFF4132" w14:textId="77777777" w:rsidR="005715B5" w:rsidRPr="0003605B" w:rsidRDefault="005715B5" w:rsidP="0003605B">
            <w:pPr>
              <w:spacing w:line="240" w:lineRule="auto"/>
              <w:rPr>
                <w:rFonts w:ascii="Times New Roman" w:hAnsi="Times New Roman"/>
                <w:color w:val="000000"/>
              </w:rPr>
            </w:pPr>
          </w:p>
        </w:tc>
        <w:tc>
          <w:tcPr>
            <w:tcW w:w="569" w:type="dxa"/>
            <w:gridSpan w:val="2"/>
            <w:shd w:val="clear" w:color="auto" w:fill="FFFFFF"/>
          </w:tcPr>
          <w:p w14:paraId="2774FA2D" w14:textId="77777777" w:rsidR="005715B5" w:rsidRPr="0003605B" w:rsidRDefault="005715B5" w:rsidP="0003605B">
            <w:pPr>
              <w:spacing w:line="240" w:lineRule="auto"/>
              <w:rPr>
                <w:rFonts w:ascii="Times New Roman" w:hAnsi="Times New Roman"/>
                <w:color w:val="000000"/>
              </w:rPr>
            </w:pPr>
          </w:p>
        </w:tc>
        <w:tc>
          <w:tcPr>
            <w:tcW w:w="573" w:type="dxa"/>
            <w:gridSpan w:val="3"/>
            <w:shd w:val="clear" w:color="auto" w:fill="FFFFFF"/>
          </w:tcPr>
          <w:p w14:paraId="4DAE501C" w14:textId="77777777" w:rsidR="005715B5" w:rsidRPr="0003605B" w:rsidRDefault="005715B5" w:rsidP="0003605B">
            <w:pPr>
              <w:spacing w:line="240" w:lineRule="auto"/>
              <w:rPr>
                <w:rFonts w:ascii="Times New Roman" w:hAnsi="Times New Roman"/>
                <w:color w:val="000000"/>
              </w:rPr>
            </w:pPr>
          </w:p>
        </w:tc>
        <w:tc>
          <w:tcPr>
            <w:tcW w:w="569" w:type="dxa"/>
            <w:shd w:val="clear" w:color="auto" w:fill="FFFFFF"/>
          </w:tcPr>
          <w:p w14:paraId="3344321E"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5A436A9C" w14:textId="77777777" w:rsidR="005715B5" w:rsidRPr="0003605B" w:rsidRDefault="005715B5" w:rsidP="0003605B">
            <w:pPr>
              <w:spacing w:line="240" w:lineRule="auto"/>
              <w:rPr>
                <w:rFonts w:ascii="Times New Roman" w:hAnsi="Times New Roman"/>
                <w:color w:val="000000"/>
              </w:rPr>
            </w:pPr>
          </w:p>
        </w:tc>
        <w:tc>
          <w:tcPr>
            <w:tcW w:w="569" w:type="dxa"/>
            <w:gridSpan w:val="3"/>
            <w:shd w:val="clear" w:color="auto" w:fill="FFFFFF"/>
          </w:tcPr>
          <w:p w14:paraId="675DC7F9"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13CD8B7A"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4F6C9000"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12DD312F" w14:textId="77777777" w:rsidR="005715B5" w:rsidRPr="0003605B" w:rsidRDefault="005715B5" w:rsidP="0003605B">
            <w:pPr>
              <w:spacing w:line="240" w:lineRule="auto"/>
              <w:rPr>
                <w:rFonts w:ascii="Times New Roman" w:hAnsi="Times New Roman"/>
                <w:color w:val="000000"/>
              </w:rPr>
            </w:pPr>
          </w:p>
        </w:tc>
        <w:tc>
          <w:tcPr>
            <w:tcW w:w="1547" w:type="dxa"/>
            <w:gridSpan w:val="3"/>
            <w:shd w:val="clear" w:color="auto" w:fill="FFFFFF"/>
          </w:tcPr>
          <w:p w14:paraId="4AB4A21A" w14:textId="77777777" w:rsidR="005715B5" w:rsidRPr="0003605B" w:rsidRDefault="005715B5" w:rsidP="0003605B">
            <w:pPr>
              <w:spacing w:line="240" w:lineRule="auto"/>
              <w:rPr>
                <w:rFonts w:ascii="Times New Roman" w:hAnsi="Times New Roman"/>
                <w:color w:val="000000"/>
                <w:spacing w:val="-2"/>
              </w:rPr>
            </w:pPr>
          </w:p>
        </w:tc>
      </w:tr>
      <w:tr w:rsidR="005715B5" w:rsidRPr="0003605B" w14:paraId="223DCDEB" w14:textId="77777777" w:rsidTr="00D92117">
        <w:trPr>
          <w:gridAfter w:val="1"/>
          <w:wAfter w:w="7227" w:type="dxa"/>
          <w:trHeight w:val="344"/>
        </w:trPr>
        <w:tc>
          <w:tcPr>
            <w:tcW w:w="3132" w:type="dxa"/>
            <w:gridSpan w:val="4"/>
            <w:shd w:val="clear" w:color="auto" w:fill="FFFFFF"/>
            <w:vAlign w:val="center"/>
          </w:tcPr>
          <w:p w14:paraId="509AB8AB"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JST</w:t>
            </w:r>
          </w:p>
        </w:tc>
        <w:tc>
          <w:tcPr>
            <w:tcW w:w="569" w:type="dxa"/>
            <w:gridSpan w:val="2"/>
            <w:shd w:val="clear" w:color="auto" w:fill="FFFFFF"/>
          </w:tcPr>
          <w:p w14:paraId="5AAB6A63"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7D1D31E0"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640F5D60" w14:textId="77777777" w:rsidR="005715B5" w:rsidRPr="0003605B" w:rsidRDefault="005715B5" w:rsidP="0003605B">
            <w:pPr>
              <w:spacing w:line="240" w:lineRule="auto"/>
              <w:rPr>
                <w:rFonts w:ascii="Times New Roman" w:hAnsi="Times New Roman"/>
                <w:color w:val="000000"/>
              </w:rPr>
            </w:pPr>
          </w:p>
        </w:tc>
        <w:tc>
          <w:tcPr>
            <w:tcW w:w="569" w:type="dxa"/>
            <w:gridSpan w:val="2"/>
            <w:shd w:val="clear" w:color="auto" w:fill="FFFFFF"/>
          </w:tcPr>
          <w:p w14:paraId="3C7E2795" w14:textId="77777777" w:rsidR="005715B5" w:rsidRPr="0003605B" w:rsidRDefault="005715B5" w:rsidP="0003605B">
            <w:pPr>
              <w:spacing w:line="240" w:lineRule="auto"/>
              <w:rPr>
                <w:rFonts w:ascii="Times New Roman" w:hAnsi="Times New Roman"/>
                <w:color w:val="000000"/>
              </w:rPr>
            </w:pPr>
          </w:p>
        </w:tc>
        <w:tc>
          <w:tcPr>
            <w:tcW w:w="573" w:type="dxa"/>
            <w:gridSpan w:val="3"/>
            <w:shd w:val="clear" w:color="auto" w:fill="FFFFFF"/>
          </w:tcPr>
          <w:p w14:paraId="4EC154B2" w14:textId="77777777" w:rsidR="005715B5" w:rsidRPr="0003605B" w:rsidRDefault="005715B5" w:rsidP="0003605B">
            <w:pPr>
              <w:spacing w:line="240" w:lineRule="auto"/>
              <w:rPr>
                <w:rFonts w:ascii="Times New Roman" w:hAnsi="Times New Roman"/>
                <w:color w:val="000000"/>
              </w:rPr>
            </w:pPr>
          </w:p>
        </w:tc>
        <w:tc>
          <w:tcPr>
            <w:tcW w:w="569" w:type="dxa"/>
            <w:shd w:val="clear" w:color="auto" w:fill="FFFFFF"/>
          </w:tcPr>
          <w:p w14:paraId="69DB1B23"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15ACEBD4" w14:textId="77777777" w:rsidR="005715B5" w:rsidRPr="0003605B" w:rsidRDefault="005715B5" w:rsidP="0003605B">
            <w:pPr>
              <w:spacing w:line="240" w:lineRule="auto"/>
              <w:rPr>
                <w:rFonts w:ascii="Times New Roman" w:hAnsi="Times New Roman"/>
                <w:color w:val="000000"/>
              </w:rPr>
            </w:pPr>
          </w:p>
        </w:tc>
        <w:tc>
          <w:tcPr>
            <w:tcW w:w="569" w:type="dxa"/>
            <w:gridSpan w:val="3"/>
            <w:shd w:val="clear" w:color="auto" w:fill="FFFFFF"/>
          </w:tcPr>
          <w:p w14:paraId="25DFDCE3"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1829C523"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157C8CEF"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66376FA9" w14:textId="77777777" w:rsidR="005715B5" w:rsidRPr="0003605B" w:rsidRDefault="005715B5" w:rsidP="0003605B">
            <w:pPr>
              <w:spacing w:line="240" w:lineRule="auto"/>
              <w:rPr>
                <w:rFonts w:ascii="Times New Roman" w:hAnsi="Times New Roman"/>
                <w:color w:val="000000"/>
              </w:rPr>
            </w:pPr>
          </w:p>
        </w:tc>
        <w:tc>
          <w:tcPr>
            <w:tcW w:w="1547" w:type="dxa"/>
            <w:gridSpan w:val="3"/>
            <w:shd w:val="clear" w:color="auto" w:fill="FFFFFF"/>
          </w:tcPr>
          <w:p w14:paraId="77C38121" w14:textId="77777777" w:rsidR="005715B5" w:rsidRPr="0003605B" w:rsidRDefault="005715B5" w:rsidP="0003605B">
            <w:pPr>
              <w:spacing w:line="240" w:lineRule="auto"/>
              <w:rPr>
                <w:rFonts w:ascii="Times New Roman" w:hAnsi="Times New Roman"/>
                <w:color w:val="000000"/>
              </w:rPr>
            </w:pPr>
          </w:p>
        </w:tc>
      </w:tr>
      <w:tr w:rsidR="005715B5" w:rsidRPr="0003605B" w14:paraId="4DA53712" w14:textId="77777777" w:rsidTr="00D92117">
        <w:trPr>
          <w:gridAfter w:val="1"/>
          <w:wAfter w:w="7227" w:type="dxa"/>
          <w:trHeight w:val="344"/>
        </w:trPr>
        <w:tc>
          <w:tcPr>
            <w:tcW w:w="3132" w:type="dxa"/>
            <w:gridSpan w:val="4"/>
            <w:shd w:val="clear" w:color="auto" w:fill="FFFFFF"/>
            <w:vAlign w:val="center"/>
          </w:tcPr>
          <w:p w14:paraId="38117ED2"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pozostałe jednostki (oddzielnie)</w:t>
            </w:r>
          </w:p>
        </w:tc>
        <w:tc>
          <w:tcPr>
            <w:tcW w:w="569" w:type="dxa"/>
            <w:gridSpan w:val="2"/>
            <w:shd w:val="clear" w:color="auto" w:fill="FFFFFF"/>
          </w:tcPr>
          <w:p w14:paraId="123B1EF3"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011F0FE5"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1FB17FD6" w14:textId="77777777" w:rsidR="005715B5" w:rsidRPr="0003605B" w:rsidRDefault="005715B5" w:rsidP="0003605B">
            <w:pPr>
              <w:spacing w:line="240" w:lineRule="auto"/>
              <w:rPr>
                <w:rFonts w:ascii="Times New Roman" w:hAnsi="Times New Roman"/>
                <w:color w:val="000000"/>
              </w:rPr>
            </w:pPr>
          </w:p>
        </w:tc>
        <w:tc>
          <w:tcPr>
            <w:tcW w:w="569" w:type="dxa"/>
            <w:gridSpan w:val="2"/>
            <w:shd w:val="clear" w:color="auto" w:fill="FFFFFF"/>
          </w:tcPr>
          <w:p w14:paraId="7781FEB2" w14:textId="77777777" w:rsidR="005715B5" w:rsidRPr="0003605B" w:rsidRDefault="005715B5" w:rsidP="0003605B">
            <w:pPr>
              <w:spacing w:line="240" w:lineRule="auto"/>
              <w:rPr>
                <w:rFonts w:ascii="Times New Roman" w:hAnsi="Times New Roman"/>
                <w:color w:val="000000"/>
              </w:rPr>
            </w:pPr>
          </w:p>
        </w:tc>
        <w:tc>
          <w:tcPr>
            <w:tcW w:w="573" w:type="dxa"/>
            <w:gridSpan w:val="3"/>
            <w:shd w:val="clear" w:color="auto" w:fill="FFFFFF"/>
          </w:tcPr>
          <w:p w14:paraId="5114E2B8" w14:textId="77777777" w:rsidR="005715B5" w:rsidRPr="0003605B" w:rsidRDefault="005715B5" w:rsidP="0003605B">
            <w:pPr>
              <w:spacing w:line="240" w:lineRule="auto"/>
              <w:rPr>
                <w:rFonts w:ascii="Times New Roman" w:hAnsi="Times New Roman"/>
                <w:color w:val="000000"/>
              </w:rPr>
            </w:pPr>
          </w:p>
        </w:tc>
        <w:tc>
          <w:tcPr>
            <w:tcW w:w="569" w:type="dxa"/>
            <w:shd w:val="clear" w:color="auto" w:fill="FFFFFF"/>
          </w:tcPr>
          <w:p w14:paraId="294A8C3B"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2BF26FAD" w14:textId="77777777" w:rsidR="005715B5" w:rsidRPr="0003605B" w:rsidRDefault="005715B5" w:rsidP="0003605B">
            <w:pPr>
              <w:spacing w:line="240" w:lineRule="auto"/>
              <w:rPr>
                <w:rFonts w:ascii="Times New Roman" w:hAnsi="Times New Roman"/>
                <w:color w:val="000000"/>
              </w:rPr>
            </w:pPr>
          </w:p>
        </w:tc>
        <w:tc>
          <w:tcPr>
            <w:tcW w:w="569" w:type="dxa"/>
            <w:gridSpan w:val="3"/>
            <w:shd w:val="clear" w:color="auto" w:fill="FFFFFF"/>
          </w:tcPr>
          <w:p w14:paraId="0EB31B30"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0826C407"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523AEDE0"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39C48018" w14:textId="77777777" w:rsidR="005715B5" w:rsidRPr="0003605B" w:rsidRDefault="005715B5" w:rsidP="0003605B">
            <w:pPr>
              <w:spacing w:line="240" w:lineRule="auto"/>
              <w:rPr>
                <w:rFonts w:ascii="Times New Roman" w:hAnsi="Times New Roman"/>
                <w:color w:val="000000"/>
              </w:rPr>
            </w:pPr>
          </w:p>
        </w:tc>
        <w:tc>
          <w:tcPr>
            <w:tcW w:w="1547" w:type="dxa"/>
            <w:gridSpan w:val="3"/>
            <w:shd w:val="clear" w:color="auto" w:fill="FFFFFF"/>
          </w:tcPr>
          <w:p w14:paraId="4272EAC4" w14:textId="77777777" w:rsidR="005715B5" w:rsidRPr="0003605B" w:rsidRDefault="005715B5" w:rsidP="0003605B">
            <w:pPr>
              <w:spacing w:line="240" w:lineRule="auto"/>
              <w:rPr>
                <w:rFonts w:ascii="Times New Roman" w:hAnsi="Times New Roman"/>
                <w:color w:val="000000"/>
              </w:rPr>
            </w:pPr>
          </w:p>
        </w:tc>
      </w:tr>
      <w:tr w:rsidR="005715B5" w:rsidRPr="0003605B" w14:paraId="1EC5D027" w14:textId="77777777" w:rsidTr="00D92117">
        <w:trPr>
          <w:gridAfter w:val="1"/>
          <w:wAfter w:w="7227" w:type="dxa"/>
          <w:trHeight w:val="330"/>
        </w:trPr>
        <w:tc>
          <w:tcPr>
            <w:tcW w:w="3132" w:type="dxa"/>
            <w:gridSpan w:val="4"/>
            <w:shd w:val="clear" w:color="auto" w:fill="FFFFFF"/>
            <w:vAlign w:val="center"/>
          </w:tcPr>
          <w:p w14:paraId="563E8D85"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b/>
                <w:color w:val="000000"/>
              </w:rPr>
              <w:t>Wydatki ogółem</w:t>
            </w:r>
          </w:p>
        </w:tc>
        <w:tc>
          <w:tcPr>
            <w:tcW w:w="569" w:type="dxa"/>
            <w:gridSpan w:val="2"/>
            <w:shd w:val="clear" w:color="auto" w:fill="FFFFFF"/>
          </w:tcPr>
          <w:p w14:paraId="38C81B4E"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6FCC6011"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0E8E5920" w14:textId="77777777" w:rsidR="005715B5" w:rsidRPr="0003605B" w:rsidRDefault="005715B5" w:rsidP="0003605B">
            <w:pPr>
              <w:spacing w:line="240" w:lineRule="auto"/>
              <w:rPr>
                <w:rFonts w:ascii="Times New Roman" w:hAnsi="Times New Roman"/>
                <w:color w:val="000000"/>
              </w:rPr>
            </w:pPr>
          </w:p>
        </w:tc>
        <w:tc>
          <w:tcPr>
            <w:tcW w:w="569" w:type="dxa"/>
            <w:gridSpan w:val="2"/>
            <w:shd w:val="clear" w:color="auto" w:fill="FFFFFF"/>
          </w:tcPr>
          <w:p w14:paraId="05FDD84D" w14:textId="77777777" w:rsidR="005715B5" w:rsidRPr="0003605B" w:rsidRDefault="005715B5" w:rsidP="0003605B">
            <w:pPr>
              <w:spacing w:line="240" w:lineRule="auto"/>
              <w:rPr>
                <w:rFonts w:ascii="Times New Roman" w:hAnsi="Times New Roman"/>
                <w:color w:val="000000"/>
              </w:rPr>
            </w:pPr>
          </w:p>
        </w:tc>
        <w:tc>
          <w:tcPr>
            <w:tcW w:w="573" w:type="dxa"/>
            <w:gridSpan w:val="3"/>
            <w:shd w:val="clear" w:color="auto" w:fill="FFFFFF"/>
          </w:tcPr>
          <w:p w14:paraId="765FB3DF" w14:textId="77777777" w:rsidR="005715B5" w:rsidRPr="0003605B" w:rsidRDefault="005715B5" w:rsidP="0003605B">
            <w:pPr>
              <w:spacing w:line="240" w:lineRule="auto"/>
              <w:rPr>
                <w:rFonts w:ascii="Times New Roman" w:hAnsi="Times New Roman"/>
                <w:color w:val="000000"/>
              </w:rPr>
            </w:pPr>
          </w:p>
        </w:tc>
        <w:tc>
          <w:tcPr>
            <w:tcW w:w="569" w:type="dxa"/>
            <w:shd w:val="clear" w:color="auto" w:fill="FFFFFF"/>
          </w:tcPr>
          <w:p w14:paraId="5084712A"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03F63B8B" w14:textId="77777777" w:rsidR="005715B5" w:rsidRPr="0003605B" w:rsidRDefault="005715B5" w:rsidP="0003605B">
            <w:pPr>
              <w:spacing w:line="240" w:lineRule="auto"/>
              <w:rPr>
                <w:rFonts w:ascii="Times New Roman" w:hAnsi="Times New Roman"/>
                <w:color w:val="000000"/>
              </w:rPr>
            </w:pPr>
          </w:p>
        </w:tc>
        <w:tc>
          <w:tcPr>
            <w:tcW w:w="569" w:type="dxa"/>
            <w:gridSpan w:val="3"/>
            <w:shd w:val="clear" w:color="auto" w:fill="FFFFFF"/>
          </w:tcPr>
          <w:p w14:paraId="1856EA76"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596D75BA"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574A37A3"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5545449A" w14:textId="77777777" w:rsidR="005715B5" w:rsidRPr="0003605B" w:rsidRDefault="005715B5" w:rsidP="0003605B">
            <w:pPr>
              <w:spacing w:line="240" w:lineRule="auto"/>
              <w:rPr>
                <w:rFonts w:ascii="Times New Roman" w:hAnsi="Times New Roman"/>
                <w:color w:val="000000"/>
              </w:rPr>
            </w:pPr>
          </w:p>
        </w:tc>
        <w:tc>
          <w:tcPr>
            <w:tcW w:w="1547" w:type="dxa"/>
            <w:gridSpan w:val="3"/>
            <w:shd w:val="clear" w:color="auto" w:fill="FFFFFF"/>
          </w:tcPr>
          <w:p w14:paraId="5D65A05C" w14:textId="77777777" w:rsidR="005715B5" w:rsidRPr="0003605B" w:rsidRDefault="005715B5" w:rsidP="0003605B">
            <w:pPr>
              <w:spacing w:line="240" w:lineRule="auto"/>
              <w:rPr>
                <w:rFonts w:ascii="Times New Roman" w:hAnsi="Times New Roman"/>
                <w:color w:val="000000"/>
              </w:rPr>
            </w:pPr>
          </w:p>
        </w:tc>
      </w:tr>
      <w:tr w:rsidR="005715B5" w:rsidRPr="0003605B" w14:paraId="6C8959C0" w14:textId="77777777" w:rsidTr="00D92117">
        <w:trPr>
          <w:gridAfter w:val="1"/>
          <w:wAfter w:w="7227" w:type="dxa"/>
          <w:trHeight w:val="330"/>
        </w:trPr>
        <w:tc>
          <w:tcPr>
            <w:tcW w:w="3132" w:type="dxa"/>
            <w:gridSpan w:val="4"/>
            <w:shd w:val="clear" w:color="auto" w:fill="FFFFFF"/>
            <w:vAlign w:val="center"/>
          </w:tcPr>
          <w:p w14:paraId="25CF1CC5"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budżet państwa</w:t>
            </w:r>
          </w:p>
        </w:tc>
        <w:tc>
          <w:tcPr>
            <w:tcW w:w="569" w:type="dxa"/>
            <w:gridSpan w:val="2"/>
            <w:shd w:val="clear" w:color="auto" w:fill="FFFFFF"/>
          </w:tcPr>
          <w:p w14:paraId="158F78AD"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3C1546C9"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174960DE" w14:textId="77777777" w:rsidR="005715B5" w:rsidRPr="0003605B" w:rsidRDefault="005715B5" w:rsidP="0003605B">
            <w:pPr>
              <w:spacing w:line="240" w:lineRule="auto"/>
              <w:rPr>
                <w:rFonts w:ascii="Times New Roman" w:hAnsi="Times New Roman"/>
                <w:color w:val="000000"/>
              </w:rPr>
            </w:pPr>
          </w:p>
        </w:tc>
        <w:tc>
          <w:tcPr>
            <w:tcW w:w="569" w:type="dxa"/>
            <w:gridSpan w:val="2"/>
            <w:shd w:val="clear" w:color="auto" w:fill="FFFFFF"/>
          </w:tcPr>
          <w:p w14:paraId="7515E1F0" w14:textId="77777777" w:rsidR="005715B5" w:rsidRPr="0003605B" w:rsidRDefault="005715B5" w:rsidP="0003605B">
            <w:pPr>
              <w:spacing w:line="240" w:lineRule="auto"/>
              <w:rPr>
                <w:rFonts w:ascii="Times New Roman" w:hAnsi="Times New Roman"/>
                <w:color w:val="000000"/>
              </w:rPr>
            </w:pPr>
          </w:p>
        </w:tc>
        <w:tc>
          <w:tcPr>
            <w:tcW w:w="573" w:type="dxa"/>
            <w:gridSpan w:val="3"/>
            <w:shd w:val="clear" w:color="auto" w:fill="FFFFFF"/>
          </w:tcPr>
          <w:p w14:paraId="6389A45A" w14:textId="77777777" w:rsidR="005715B5" w:rsidRPr="0003605B" w:rsidRDefault="005715B5" w:rsidP="0003605B">
            <w:pPr>
              <w:spacing w:line="240" w:lineRule="auto"/>
              <w:rPr>
                <w:rFonts w:ascii="Times New Roman" w:hAnsi="Times New Roman"/>
                <w:color w:val="000000"/>
              </w:rPr>
            </w:pPr>
          </w:p>
        </w:tc>
        <w:tc>
          <w:tcPr>
            <w:tcW w:w="569" w:type="dxa"/>
            <w:shd w:val="clear" w:color="auto" w:fill="FFFFFF"/>
          </w:tcPr>
          <w:p w14:paraId="32730DC0"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02E35EAA" w14:textId="77777777" w:rsidR="005715B5" w:rsidRPr="0003605B" w:rsidRDefault="005715B5" w:rsidP="0003605B">
            <w:pPr>
              <w:spacing w:line="240" w:lineRule="auto"/>
              <w:rPr>
                <w:rFonts w:ascii="Times New Roman" w:hAnsi="Times New Roman"/>
                <w:color w:val="000000"/>
              </w:rPr>
            </w:pPr>
          </w:p>
        </w:tc>
        <w:tc>
          <w:tcPr>
            <w:tcW w:w="569" w:type="dxa"/>
            <w:gridSpan w:val="3"/>
            <w:shd w:val="clear" w:color="auto" w:fill="FFFFFF"/>
          </w:tcPr>
          <w:p w14:paraId="67B3400D"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62AD1794"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256E65FA"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174B002A" w14:textId="77777777" w:rsidR="005715B5" w:rsidRPr="0003605B" w:rsidRDefault="005715B5" w:rsidP="0003605B">
            <w:pPr>
              <w:spacing w:line="240" w:lineRule="auto"/>
              <w:rPr>
                <w:rFonts w:ascii="Times New Roman" w:hAnsi="Times New Roman"/>
                <w:color w:val="000000"/>
              </w:rPr>
            </w:pPr>
          </w:p>
        </w:tc>
        <w:tc>
          <w:tcPr>
            <w:tcW w:w="1547" w:type="dxa"/>
            <w:gridSpan w:val="3"/>
            <w:shd w:val="clear" w:color="auto" w:fill="FFFFFF"/>
          </w:tcPr>
          <w:p w14:paraId="335204A7" w14:textId="77777777" w:rsidR="005715B5" w:rsidRPr="0003605B" w:rsidRDefault="005715B5" w:rsidP="0003605B">
            <w:pPr>
              <w:spacing w:line="240" w:lineRule="auto"/>
              <w:rPr>
                <w:rFonts w:ascii="Times New Roman" w:hAnsi="Times New Roman"/>
                <w:color w:val="000000"/>
              </w:rPr>
            </w:pPr>
          </w:p>
        </w:tc>
      </w:tr>
      <w:tr w:rsidR="005715B5" w:rsidRPr="0003605B" w14:paraId="66DA1046" w14:textId="77777777" w:rsidTr="00D92117">
        <w:trPr>
          <w:gridAfter w:val="1"/>
          <w:wAfter w:w="7227" w:type="dxa"/>
          <w:trHeight w:val="351"/>
        </w:trPr>
        <w:tc>
          <w:tcPr>
            <w:tcW w:w="3132" w:type="dxa"/>
            <w:gridSpan w:val="4"/>
            <w:shd w:val="clear" w:color="auto" w:fill="FFFFFF"/>
            <w:vAlign w:val="center"/>
          </w:tcPr>
          <w:p w14:paraId="6C4507D8"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JST</w:t>
            </w:r>
          </w:p>
        </w:tc>
        <w:tc>
          <w:tcPr>
            <w:tcW w:w="569" w:type="dxa"/>
            <w:gridSpan w:val="2"/>
            <w:shd w:val="clear" w:color="auto" w:fill="FFFFFF"/>
          </w:tcPr>
          <w:p w14:paraId="2F4AD54B"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64E56068"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4EB05E88" w14:textId="77777777" w:rsidR="005715B5" w:rsidRPr="0003605B" w:rsidRDefault="005715B5" w:rsidP="0003605B">
            <w:pPr>
              <w:spacing w:line="240" w:lineRule="auto"/>
              <w:rPr>
                <w:rFonts w:ascii="Times New Roman" w:hAnsi="Times New Roman"/>
                <w:color w:val="000000"/>
              </w:rPr>
            </w:pPr>
          </w:p>
        </w:tc>
        <w:tc>
          <w:tcPr>
            <w:tcW w:w="569" w:type="dxa"/>
            <w:gridSpan w:val="2"/>
            <w:shd w:val="clear" w:color="auto" w:fill="FFFFFF"/>
          </w:tcPr>
          <w:p w14:paraId="5F275EB2" w14:textId="77777777" w:rsidR="005715B5" w:rsidRPr="0003605B" w:rsidRDefault="005715B5" w:rsidP="0003605B">
            <w:pPr>
              <w:spacing w:line="240" w:lineRule="auto"/>
              <w:rPr>
                <w:rFonts w:ascii="Times New Roman" w:hAnsi="Times New Roman"/>
                <w:color w:val="000000"/>
              </w:rPr>
            </w:pPr>
          </w:p>
        </w:tc>
        <w:tc>
          <w:tcPr>
            <w:tcW w:w="573" w:type="dxa"/>
            <w:gridSpan w:val="3"/>
            <w:shd w:val="clear" w:color="auto" w:fill="FFFFFF"/>
          </w:tcPr>
          <w:p w14:paraId="0468C3F6" w14:textId="77777777" w:rsidR="005715B5" w:rsidRPr="0003605B" w:rsidRDefault="005715B5" w:rsidP="0003605B">
            <w:pPr>
              <w:spacing w:line="240" w:lineRule="auto"/>
              <w:rPr>
                <w:rFonts w:ascii="Times New Roman" w:hAnsi="Times New Roman"/>
                <w:color w:val="000000"/>
              </w:rPr>
            </w:pPr>
          </w:p>
        </w:tc>
        <w:tc>
          <w:tcPr>
            <w:tcW w:w="569" w:type="dxa"/>
            <w:shd w:val="clear" w:color="auto" w:fill="FFFFFF"/>
          </w:tcPr>
          <w:p w14:paraId="42325A0E"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20B5B2F0" w14:textId="77777777" w:rsidR="005715B5" w:rsidRPr="0003605B" w:rsidRDefault="005715B5" w:rsidP="0003605B">
            <w:pPr>
              <w:spacing w:line="240" w:lineRule="auto"/>
              <w:rPr>
                <w:rFonts w:ascii="Times New Roman" w:hAnsi="Times New Roman"/>
                <w:color w:val="000000"/>
              </w:rPr>
            </w:pPr>
          </w:p>
        </w:tc>
        <w:tc>
          <w:tcPr>
            <w:tcW w:w="569" w:type="dxa"/>
            <w:gridSpan w:val="3"/>
            <w:shd w:val="clear" w:color="auto" w:fill="FFFFFF"/>
          </w:tcPr>
          <w:p w14:paraId="759E7195"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5A785D82"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56A83225"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0D98A131" w14:textId="77777777" w:rsidR="005715B5" w:rsidRPr="0003605B" w:rsidRDefault="005715B5" w:rsidP="0003605B">
            <w:pPr>
              <w:spacing w:line="240" w:lineRule="auto"/>
              <w:rPr>
                <w:rFonts w:ascii="Times New Roman" w:hAnsi="Times New Roman"/>
                <w:color w:val="000000"/>
              </w:rPr>
            </w:pPr>
          </w:p>
        </w:tc>
        <w:tc>
          <w:tcPr>
            <w:tcW w:w="1547" w:type="dxa"/>
            <w:gridSpan w:val="3"/>
            <w:shd w:val="clear" w:color="auto" w:fill="FFFFFF"/>
          </w:tcPr>
          <w:p w14:paraId="336C8FEC" w14:textId="77777777" w:rsidR="005715B5" w:rsidRPr="0003605B" w:rsidRDefault="005715B5" w:rsidP="0003605B">
            <w:pPr>
              <w:spacing w:line="240" w:lineRule="auto"/>
              <w:rPr>
                <w:rFonts w:ascii="Times New Roman" w:hAnsi="Times New Roman"/>
                <w:color w:val="000000"/>
              </w:rPr>
            </w:pPr>
          </w:p>
        </w:tc>
      </w:tr>
      <w:tr w:rsidR="005715B5" w:rsidRPr="0003605B" w14:paraId="761F2CD7" w14:textId="77777777" w:rsidTr="00D92117">
        <w:trPr>
          <w:gridAfter w:val="1"/>
          <w:wAfter w:w="7227" w:type="dxa"/>
          <w:trHeight w:val="351"/>
        </w:trPr>
        <w:tc>
          <w:tcPr>
            <w:tcW w:w="3132" w:type="dxa"/>
            <w:gridSpan w:val="4"/>
            <w:shd w:val="clear" w:color="auto" w:fill="FFFFFF"/>
            <w:vAlign w:val="center"/>
          </w:tcPr>
          <w:p w14:paraId="56AF2877"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pozostałe jednostki (oddzielnie)</w:t>
            </w:r>
          </w:p>
        </w:tc>
        <w:tc>
          <w:tcPr>
            <w:tcW w:w="569" w:type="dxa"/>
            <w:gridSpan w:val="2"/>
            <w:shd w:val="clear" w:color="auto" w:fill="FFFFFF"/>
          </w:tcPr>
          <w:p w14:paraId="18B051AC"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3F39F14D"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2CEAEB32" w14:textId="77777777" w:rsidR="005715B5" w:rsidRPr="0003605B" w:rsidRDefault="005715B5" w:rsidP="0003605B">
            <w:pPr>
              <w:spacing w:line="240" w:lineRule="auto"/>
              <w:rPr>
                <w:rFonts w:ascii="Times New Roman" w:hAnsi="Times New Roman"/>
                <w:color w:val="000000"/>
              </w:rPr>
            </w:pPr>
          </w:p>
        </w:tc>
        <w:tc>
          <w:tcPr>
            <w:tcW w:w="569" w:type="dxa"/>
            <w:gridSpan w:val="2"/>
            <w:shd w:val="clear" w:color="auto" w:fill="FFFFFF"/>
          </w:tcPr>
          <w:p w14:paraId="4B4D96EF" w14:textId="77777777" w:rsidR="005715B5" w:rsidRPr="0003605B" w:rsidRDefault="005715B5" w:rsidP="0003605B">
            <w:pPr>
              <w:spacing w:line="240" w:lineRule="auto"/>
              <w:rPr>
                <w:rFonts w:ascii="Times New Roman" w:hAnsi="Times New Roman"/>
                <w:color w:val="000000"/>
              </w:rPr>
            </w:pPr>
          </w:p>
        </w:tc>
        <w:tc>
          <w:tcPr>
            <w:tcW w:w="573" w:type="dxa"/>
            <w:gridSpan w:val="3"/>
            <w:shd w:val="clear" w:color="auto" w:fill="FFFFFF"/>
          </w:tcPr>
          <w:p w14:paraId="7AA42A62" w14:textId="77777777" w:rsidR="005715B5" w:rsidRPr="0003605B" w:rsidRDefault="005715B5" w:rsidP="0003605B">
            <w:pPr>
              <w:spacing w:line="240" w:lineRule="auto"/>
              <w:rPr>
                <w:rFonts w:ascii="Times New Roman" w:hAnsi="Times New Roman"/>
                <w:color w:val="000000"/>
              </w:rPr>
            </w:pPr>
          </w:p>
        </w:tc>
        <w:tc>
          <w:tcPr>
            <w:tcW w:w="569" w:type="dxa"/>
            <w:shd w:val="clear" w:color="auto" w:fill="FFFFFF"/>
          </w:tcPr>
          <w:p w14:paraId="06FAF075"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63E77FE9" w14:textId="77777777" w:rsidR="005715B5" w:rsidRPr="0003605B" w:rsidRDefault="005715B5" w:rsidP="0003605B">
            <w:pPr>
              <w:spacing w:line="240" w:lineRule="auto"/>
              <w:rPr>
                <w:rFonts w:ascii="Times New Roman" w:hAnsi="Times New Roman"/>
                <w:color w:val="000000"/>
              </w:rPr>
            </w:pPr>
          </w:p>
        </w:tc>
        <w:tc>
          <w:tcPr>
            <w:tcW w:w="569" w:type="dxa"/>
            <w:gridSpan w:val="3"/>
            <w:shd w:val="clear" w:color="auto" w:fill="FFFFFF"/>
          </w:tcPr>
          <w:p w14:paraId="4322EB74"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2DAFAADE"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473AC570"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34B53BC5" w14:textId="77777777" w:rsidR="005715B5" w:rsidRPr="0003605B" w:rsidRDefault="005715B5" w:rsidP="0003605B">
            <w:pPr>
              <w:spacing w:line="240" w:lineRule="auto"/>
              <w:rPr>
                <w:rFonts w:ascii="Times New Roman" w:hAnsi="Times New Roman"/>
                <w:color w:val="000000"/>
              </w:rPr>
            </w:pPr>
          </w:p>
        </w:tc>
        <w:tc>
          <w:tcPr>
            <w:tcW w:w="1547" w:type="dxa"/>
            <w:gridSpan w:val="3"/>
            <w:shd w:val="clear" w:color="auto" w:fill="FFFFFF"/>
          </w:tcPr>
          <w:p w14:paraId="27C2C57E" w14:textId="77777777" w:rsidR="005715B5" w:rsidRPr="0003605B" w:rsidRDefault="005715B5" w:rsidP="0003605B">
            <w:pPr>
              <w:spacing w:line="240" w:lineRule="auto"/>
              <w:rPr>
                <w:rFonts w:ascii="Times New Roman" w:hAnsi="Times New Roman"/>
                <w:color w:val="000000"/>
              </w:rPr>
            </w:pPr>
          </w:p>
        </w:tc>
      </w:tr>
      <w:tr w:rsidR="005715B5" w:rsidRPr="0003605B" w14:paraId="62F05D58" w14:textId="77777777" w:rsidTr="00D92117">
        <w:trPr>
          <w:gridAfter w:val="1"/>
          <w:wAfter w:w="7227" w:type="dxa"/>
          <w:trHeight w:val="360"/>
        </w:trPr>
        <w:tc>
          <w:tcPr>
            <w:tcW w:w="3132" w:type="dxa"/>
            <w:gridSpan w:val="4"/>
            <w:shd w:val="clear" w:color="auto" w:fill="FFFFFF"/>
            <w:vAlign w:val="center"/>
          </w:tcPr>
          <w:p w14:paraId="25082B8B"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b/>
                <w:color w:val="000000"/>
              </w:rPr>
              <w:t>Saldo ogółem</w:t>
            </w:r>
          </w:p>
        </w:tc>
        <w:tc>
          <w:tcPr>
            <w:tcW w:w="569" w:type="dxa"/>
            <w:gridSpan w:val="2"/>
            <w:shd w:val="clear" w:color="auto" w:fill="FFFFFF"/>
          </w:tcPr>
          <w:p w14:paraId="457B3BA7"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23AC4C70"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23FD2534" w14:textId="77777777" w:rsidR="005715B5" w:rsidRPr="0003605B" w:rsidRDefault="005715B5" w:rsidP="0003605B">
            <w:pPr>
              <w:spacing w:line="240" w:lineRule="auto"/>
              <w:rPr>
                <w:rFonts w:ascii="Times New Roman" w:hAnsi="Times New Roman"/>
                <w:color w:val="000000"/>
              </w:rPr>
            </w:pPr>
          </w:p>
        </w:tc>
        <w:tc>
          <w:tcPr>
            <w:tcW w:w="569" w:type="dxa"/>
            <w:gridSpan w:val="2"/>
            <w:shd w:val="clear" w:color="auto" w:fill="FFFFFF"/>
          </w:tcPr>
          <w:p w14:paraId="4188FE6D" w14:textId="77777777" w:rsidR="005715B5" w:rsidRPr="0003605B" w:rsidRDefault="005715B5" w:rsidP="0003605B">
            <w:pPr>
              <w:spacing w:line="240" w:lineRule="auto"/>
              <w:rPr>
                <w:rFonts w:ascii="Times New Roman" w:hAnsi="Times New Roman"/>
                <w:color w:val="000000"/>
              </w:rPr>
            </w:pPr>
          </w:p>
        </w:tc>
        <w:tc>
          <w:tcPr>
            <w:tcW w:w="573" w:type="dxa"/>
            <w:gridSpan w:val="3"/>
            <w:shd w:val="clear" w:color="auto" w:fill="FFFFFF"/>
          </w:tcPr>
          <w:p w14:paraId="3F9580D3" w14:textId="77777777" w:rsidR="005715B5" w:rsidRPr="0003605B" w:rsidRDefault="005715B5" w:rsidP="0003605B">
            <w:pPr>
              <w:spacing w:line="240" w:lineRule="auto"/>
              <w:rPr>
                <w:rFonts w:ascii="Times New Roman" w:hAnsi="Times New Roman"/>
                <w:color w:val="000000"/>
              </w:rPr>
            </w:pPr>
          </w:p>
        </w:tc>
        <w:tc>
          <w:tcPr>
            <w:tcW w:w="569" w:type="dxa"/>
            <w:shd w:val="clear" w:color="auto" w:fill="FFFFFF"/>
          </w:tcPr>
          <w:p w14:paraId="657C07B3"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62405131" w14:textId="77777777" w:rsidR="005715B5" w:rsidRPr="0003605B" w:rsidRDefault="005715B5" w:rsidP="0003605B">
            <w:pPr>
              <w:spacing w:line="240" w:lineRule="auto"/>
              <w:rPr>
                <w:rFonts w:ascii="Times New Roman" w:hAnsi="Times New Roman"/>
                <w:color w:val="000000"/>
              </w:rPr>
            </w:pPr>
          </w:p>
        </w:tc>
        <w:tc>
          <w:tcPr>
            <w:tcW w:w="569" w:type="dxa"/>
            <w:gridSpan w:val="3"/>
            <w:shd w:val="clear" w:color="auto" w:fill="FFFFFF"/>
          </w:tcPr>
          <w:p w14:paraId="5877A59B"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01191F3A"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3BCFA779"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285897AA" w14:textId="77777777" w:rsidR="005715B5" w:rsidRPr="0003605B" w:rsidRDefault="005715B5" w:rsidP="0003605B">
            <w:pPr>
              <w:spacing w:line="240" w:lineRule="auto"/>
              <w:rPr>
                <w:rFonts w:ascii="Times New Roman" w:hAnsi="Times New Roman"/>
                <w:color w:val="000000"/>
              </w:rPr>
            </w:pPr>
          </w:p>
        </w:tc>
        <w:tc>
          <w:tcPr>
            <w:tcW w:w="1547" w:type="dxa"/>
            <w:gridSpan w:val="3"/>
            <w:shd w:val="clear" w:color="auto" w:fill="FFFFFF"/>
          </w:tcPr>
          <w:p w14:paraId="69BF175E" w14:textId="77777777" w:rsidR="005715B5" w:rsidRPr="0003605B" w:rsidRDefault="005715B5" w:rsidP="0003605B">
            <w:pPr>
              <w:spacing w:line="240" w:lineRule="auto"/>
              <w:rPr>
                <w:rFonts w:ascii="Times New Roman" w:hAnsi="Times New Roman"/>
                <w:color w:val="000000"/>
              </w:rPr>
            </w:pPr>
          </w:p>
        </w:tc>
      </w:tr>
      <w:tr w:rsidR="005715B5" w:rsidRPr="0003605B" w14:paraId="501D0D83" w14:textId="77777777" w:rsidTr="00D92117">
        <w:trPr>
          <w:gridAfter w:val="1"/>
          <w:wAfter w:w="7227" w:type="dxa"/>
          <w:trHeight w:val="360"/>
        </w:trPr>
        <w:tc>
          <w:tcPr>
            <w:tcW w:w="3132" w:type="dxa"/>
            <w:gridSpan w:val="4"/>
            <w:shd w:val="clear" w:color="auto" w:fill="FFFFFF"/>
            <w:vAlign w:val="center"/>
          </w:tcPr>
          <w:p w14:paraId="3A39DDE6"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budżet państwa</w:t>
            </w:r>
          </w:p>
        </w:tc>
        <w:tc>
          <w:tcPr>
            <w:tcW w:w="569" w:type="dxa"/>
            <w:gridSpan w:val="2"/>
            <w:shd w:val="clear" w:color="auto" w:fill="FFFFFF"/>
          </w:tcPr>
          <w:p w14:paraId="59028DBB"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52041C38"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02BB6FA8" w14:textId="77777777" w:rsidR="005715B5" w:rsidRPr="0003605B" w:rsidRDefault="005715B5" w:rsidP="0003605B">
            <w:pPr>
              <w:spacing w:line="240" w:lineRule="auto"/>
              <w:rPr>
                <w:rFonts w:ascii="Times New Roman" w:hAnsi="Times New Roman"/>
                <w:color w:val="000000"/>
              </w:rPr>
            </w:pPr>
          </w:p>
        </w:tc>
        <w:tc>
          <w:tcPr>
            <w:tcW w:w="569" w:type="dxa"/>
            <w:gridSpan w:val="2"/>
            <w:shd w:val="clear" w:color="auto" w:fill="FFFFFF"/>
          </w:tcPr>
          <w:p w14:paraId="6BB7354E" w14:textId="77777777" w:rsidR="005715B5" w:rsidRPr="0003605B" w:rsidRDefault="005715B5" w:rsidP="0003605B">
            <w:pPr>
              <w:spacing w:line="240" w:lineRule="auto"/>
              <w:rPr>
                <w:rFonts w:ascii="Times New Roman" w:hAnsi="Times New Roman"/>
                <w:color w:val="000000"/>
              </w:rPr>
            </w:pPr>
          </w:p>
        </w:tc>
        <w:tc>
          <w:tcPr>
            <w:tcW w:w="573" w:type="dxa"/>
            <w:gridSpan w:val="3"/>
            <w:shd w:val="clear" w:color="auto" w:fill="FFFFFF"/>
          </w:tcPr>
          <w:p w14:paraId="6E84D0CB" w14:textId="77777777" w:rsidR="005715B5" w:rsidRPr="0003605B" w:rsidRDefault="005715B5" w:rsidP="0003605B">
            <w:pPr>
              <w:spacing w:line="240" w:lineRule="auto"/>
              <w:rPr>
                <w:rFonts w:ascii="Times New Roman" w:hAnsi="Times New Roman"/>
                <w:color w:val="000000"/>
              </w:rPr>
            </w:pPr>
          </w:p>
        </w:tc>
        <w:tc>
          <w:tcPr>
            <w:tcW w:w="569" w:type="dxa"/>
            <w:shd w:val="clear" w:color="auto" w:fill="FFFFFF"/>
          </w:tcPr>
          <w:p w14:paraId="784AFC65"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6FC1AA3F" w14:textId="77777777" w:rsidR="005715B5" w:rsidRPr="0003605B" w:rsidRDefault="005715B5" w:rsidP="0003605B">
            <w:pPr>
              <w:spacing w:line="240" w:lineRule="auto"/>
              <w:rPr>
                <w:rFonts w:ascii="Times New Roman" w:hAnsi="Times New Roman"/>
                <w:color w:val="000000"/>
              </w:rPr>
            </w:pPr>
          </w:p>
        </w:tc>
        <w:tc>
          <w:tcPr>
            <w:tcW w:w="569" w:type="dxa"/>
            <w:gridSpan w:val="3"/>
            <w:shd w:val="clear" w:color="auto" w:fill="FFFFFF"/>
          </w:tcPr>
          <w:p w14:paraId="73AD20F4"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53D62A66"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5A256B56"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6893ABBD" w14:textId="77777777" w:rsidR="005715B5" w:rsidRPr="0003605B" w:rsidRDefault="005715B5" w:rsidP="0003605B">
            <w:pPr>
              <w:spacing w:line="240" w:lineRule="auto"/>
              <w:rPr>
                <w:rFonts w:ascii="Times New Roman" w:hAnsi="Times New Roman"/>
                <w:color w:val="000000"/>
              </w:rPr>
            </w:pPr>
          </w:p>
        </w:tc>
        <w:tc>
          <w:tcPr>
            <w:tcW w:w="1547" w:type="dxa"/>
            <w:gridSpan w:val="3"/>
            <w:shd w:val="clear" w:color="auto" w:fill="FFFFFF"/>
          </w:tcPr>
          <w:p w14:paraId="04306847" w14:textId="77777777" w:rsidR="005715B5" w:rsidRPr="0003605B" w:rsidRDefault="005715B5" w:rsidP="0003605B">
            <w:pPr>
              <w:spacing w:line="240" w:lineRule="auto"/>
              <w:rPr>
                <w:rFonts w:ascii="Times New Roman" w:hAnsi="Times New Roman"/>
                <w:color w:val="000000"/>
              </w:rPr>
            </w:pPr>
          </w:p>
        </w:tc>
      </w:tr>
      <w:tr w:rsidR="005715B5" w:rsidRPr="0003605B" w14:paraId="0F09D15A" w14:textId="77777777" w:rsidTr="00D92117">
        <w:trPr>
          <w:gridAfter w:val="1"/>
          <w:wAfter w:w="7227" w:type="dxa"/>
          <w:trHeight w:val="357"/>
        </w:trPr>
        <w:tc>
          <w:tcPr>
            <w:tcW w:w="3132" w:type="dxa"/>
            <w:gridSpan w:val="4"/>
            <w:shd w:val="clear" w:color="auto" w:fill="FFFFFF"/>
            <w:vAlign w:val="center"/>
          </w:tcPr>
          <w:p w14:paraId="059C2A64"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JST</w:t>
            </w:r>
          </w:p>
        </w:tc>
        <w:tc>
          <w:tcPr>
            <w:tcW w:w="569" w:type="dxa"/>
            <w:gridSpan w:val="2"/>
            <w:shd w:val="clear" w:color="auto" w:fill="FFFFFF"/>
          </w:tcPr>
          <w:p w14:paraId="531302F6"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1B657FE5"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1FE83695" w14:textId="77777777" w:rsidR="005715B5" w:rsidRPr="0003605B" w:rsidRDefault="005715B5" w:rsidP="0003605B">
            <w:pPr>
              <w:spacing w:line="240" w:lineRule="auto"/>
              <w:rPr>
                <w:rFonts w:ascii="Times New Roman" w:hAnsi="Times New Roman"/>
                <w:color w:val="000000"/>
              </w:rPr>
            </w:pPr>
          </w:p>
        </w:tc>
        <w:tc>
          <w:tcPr>
            <w:tcW w:w="569" w:type="dxa"/>
            <w:gridSpan w:val="2"/>
            <w:shd w:val="clear" w:color="auto" w:fill="FFFFFF"/>
          </w:tcPr>
          <w:p w14:paraId="2A82A30F" w14:textId="77777777" w:rsidR="005715B5" w:rsidRPr="0003605B" w:rsidRDefault="005715B5" w:rsidP="0003605B">
            <w:pPr>
              <w:spacing w:line="240" w:lineRule="auto"/>
              <w:rPr>
                <w:rFonts w:ascii="Times New Roman" w:hAnsi="Times New Roman"/>
                <w:color w:val="000000"/>
              </w:rPr>
            </w:pPr>
          </w:p>
        </w:tc>
        <w:tc>
          <w:tcPr>
            <w:tcW w:w="573" w:type="dxa"/>
            <w:gridSpan w:val="3"/>
            <w:shd w:val="clear" w:color="auto" w:fill="FFFFFF"/>
          </w:tcPr>
          <w:p w14:paraId="70B64160" w14:textId="77777777" w:rsidR="005715B5" w:rsidRPr="0003605B" w:rsidRDefault="005715B5" w:rsidP="0003605B">
            <w:pPr>
              <w:spacing w:line="240" w:lineRule="auto"/>
              <w:rPr>
                <w:rFonts w:ascii="Times New Roman" w:hAnsi="Times New Roman"/>
                <w:color w:val="000000"/>
              </w:rPr>
            </w:pPr>
          </w:p>
        </w:tc>
        <w:tc>
          <w:tcPr>
            <w:tcW w:w="569" w:type="dxa"/>
            <w:shd w:val="clear" w:color="auto" w:fill="FFFFFF"/>
          </w:tcPr>
          <w:p w14:paraId="1AF6F24B"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0EB9E8D0" w14:textId="77777777" w:rsidR="005715B5" w:rsidRPr="0003605B" w:rsidRDefault="005715B5" w:rsidP="0003605B">
            <w:pPr>
              <w:spacing w:line="240" w:lineRule="auto"/>
              <w:rPr>
                <w:rFonts w:ascii="Times New Roman" w:hAnsi="Times New Roman"/>
                <w:color w:val="000000"/>
              </w:rPr>
            </w:pPr>
          </w:p>
        </w:tc>
        <w:tc>
          <w:tcPr>
            <w:tcW w:w="569" w:type="dxa"/>
            <w:gridSpan w:val="3"/>
            <w:shd w:val="clear" w:color="auto" w:fill="FFFFFF"/>
          </w:tcPr>
          <w:p w14:paraId="0D252492"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64F8A092"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3134EF56"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56CE781A" w14:textId="77777777" w:rsidR="005715B5" w:rsidRPr="0003605B" w:rsidRDefault="005715B5" w:rsidP="0003605B">
            <w:pPr>
              <w:spacing w:line="240" w:lineRule="auto"/>
              <w:rPr>
                <w:rFonts w:ascii="Times New Roman" w:hAnsi="Times New Roman"/>
                <w:color w:val="000000"/>
              </w:rPr>
            </w:pPr>
          </w:p>
        </w:tc>
        <w:tc>
          <w:tcPr>
            <w:tcW w:w="1547" w:type="dxa"/>
            <w:gridSpan w:val="3"/>
            <w:shd w:val="clear" w:color="auto" w:fill="FFFFFF"/>
          </w:tcPr>
          <w:p w14:paraId="49E270AF" w14:textId="77777777" w:rsidR="005715B5" w:rsidRPr="0003605B" w:rsidRDefault="005715B5" w:rsidP="0003605B">
            <w:pPr>
              <w:spacing w:line="240" w:lineRule="auto"/>
              <w:rPr>
                <w:rFonts w:ascii="Times New Roman" w:hAnsi="Times New Roman"/>
                <w:color w:val="000000"/>
              </w:rPr>
            </w:pPr>
          </w:p>
        </w:tc>
      </w:tr>
      <w:tr w:rsidR="005715B5" w:rsidRPr="0003605B" w14:paraId="4D5E8158" w14:textId="77777777" w:rsidTr="00D92117">
        <w:trPr>
          <w:gridAfter w:val="1"/>
          <w:wAfter w:w="7227" w:type="dxa"/>
          <w:trHeight w:val="357"/>
        </w:trPr>
        <w:tc>
          <w:tcPr>
            <w:tcW w:w="3132" w:type="dxa"/>
            <w:gridSpan w:val="4"/>
            <w:shd w:val="clear" w:color="auto" w:fill="FFFFFF"/>
            <w:vAlign w:val="center"/>
          </w:tcPr>
          <w:p w14:paraId="06B13321"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pozostałe jednostki (oddzielnie)</w:t>
            </w:r>
          </w:p>
        </w:tc>
        <w:tc>
          <w:tcPr>
            <w:tcW w:w="569" w:type="dxa"/>
            <w:gridSpan w:val="2"/>
            <w:shd w:val="clear" w:color="auto" w:fill="FFFFFF"/>
          </w:tcPr>
          <w:p w14:paraId="57032CC3"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2FD92263"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3808F8DF" w14:textId="77777777" w:rsidR="005715B5" w:rsidRPr="0003605B" w:rsidRDefault="005715B5" w:rsidP="0003605B">
            <w:pPr>
              <w:spacing w:line="240" w:lineRule="auto"/>
              <w:rPr>
                <w:rFonts w:ascii="Times New Roman" w:hAnsi="Times New Roman"/>
                <w:color w:val="000000"/>
              </w:rPr>
            </w:pPr>
          </w:p>
        </w:tc>
        <w:tc>
          <w:tcPr>
            <w:tcW w:w="569" w:type="dxa"/>
            <w:gridSpan w:val="2"/>
            <w:shd w:val="clear" w:color="auto" w:fill="FFFFFF"/>
          </w:tcPr>
          <w:p w14:paraId="4B4052BC" w14:textId="77777777" w:rsidR="005715B5" w:rsidRPr="0003605B" w:rsidRDefault="005715B5" w:rsidP="0003605B">
            <w:pPr>
              <w:spacing w:line="240" w:lineRule="auto"/>
              <w:rPr>
                <w:rFonts w:ascii="Times New Roman" w:hAnsi="Times New Roman"/>
                <w:color w:val="000000"/>
              </w:rPr>
            </w:pPr>
          </w:p>
        </w:tc>
        <w:tc>
          <w:tcPr>
            <w:tcW w:w="573" w:type="dxa"/>
            <w:gridSpan w:val="3"/>
            <w:shd w:val="clear" w:color="auto" w:fill="FFFFFF"/>
          </w:tcPr>
          <w:p w14:paraId="7DB2DA53" w14:textId="77777777" w:rsidR="005715B5" w:rsidRPr="0003605B" w:rsidRDefault="005715B5" w:rsidP="0003605B">
            <w:pPr>
              <w:spacing w:line="240" w:lineRule="auto"/>
              <w:rPr>
                <w:rFonts w:ascii="Times New Roman" w:hAnsi="Times New Roman"/>
                <w:color w:val="000000"/>
              </w:rPr>
            </w:pPr>
          </w:p>
        </w:tc>
        <w:tc>
          <w:tcPr>
            <w:tcW w:w="569" w:type="dxa"/>
            <w:shd w:val="clear" w:color="auto" w:fill="FFFFFF"/>
          </w:tcPr>
          <w:p w14:paraId="516E8ECC" w14:textId="77777777" w:rsidR="005715B5" w:rsidRPr="0003605B" w:rsidRDefault="005715B5" w:rsidP="0003605B">
            <w:pPr>
              <w:spacing w:line="240" w:lineRule="auto"/>
              <w:rPr>
                <w:rFonts w:ascii="Times New Roman" w:hAnsi="Times New Roman"/>
                <w:color w:val="000000"/>
              </w:rPr>
            </w:pPr>
          </w:p>
        </w:tc>
        <w:tc>
          <w:tcPr>
            <w:tcW w:w="570" w:type="dxa"/>
            <w:gridSpan w:val="3"/>
            <w:shd w:val="clear" w:color="auto" w:fill="FFFFFF"/>
          </w:tcPr>
          <w:p w14:paraId="196910A3" w14:textId="77777777" w:rsidR="005715B5" w:rsidRPr="0003605B" w:rsidRDefault="005715B5" w:rsidP="0003605B">
            <w:pPr>
              <w:spacing w:line="240" w:lineRule="auto"/>
              <w:rPr>
                <w:rFonts w:ascii="Times New Roman" w:hAnsi="Times New Roman"/>
                <w:color w:val="000000"/>
              </w:rPr>
            </w:pPr>
          </w:p>
        </w:tc>
        <w:tc>
          <w:tcPr>
            <w:tcW w:w="569" w:type="dxa"/>
            <w:gridSpan w:val="3"/>
            <w:shd w:val="clear" w:color="auto" w:fill="FFFFFF"/>
          </w:tcPr>
          <w:p w14:paraId="6EAFFF99"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70ED8E3C" w14:textId="77777777" w:rsidR="005715B5" w:rsidRPr="0003605B" w:rsidRDefault="005715B5" w:rsidP="0003605B">
            <w:pPr>
              <w:spacing w:line="240" w:lineRule="auto"/>
              <w:rPr>
                <w:rFonts w:ascii="Times New Roman" w:hAnsi="Times New Roman"/>
                <w:color w:val="000000"/>
              </w:rPr>
            </w:pPr>
          </w:p>
        </w:tc>
        <w:tc>
          <w:tcPr>
            <w:tcW w:w="570" w:type="dxa"/>
            <w:gridSpan w:val="2"/>
            <w:shd w:val="clear" w:color="auto" w:fill="FFFFFF"/>
          </w:tcPr>
          <w:p w14:paraId="64768529" w14:textId="77777777" w:rsidR="005715B5" w:rsidRPr="0003605B" w:rsidRDefault="005715B5" w:rsidP="0003605B">
            <w:pPr>
              <w:spacing w:line="240" w:lineRule="auto"/>
              <w:rPr>
                <w:rFonts w:ascii="Times New Roman" w:hAnsi="Times New Roman"/>
                <w:color w:val="000000"/>
              </w:rPr>
            </w:pPr>
          </w:p>
        </w:tc>
        <w:tc>
          <w:tcPr>
            <w:tcW w:w="570" w:type="dxa"/>
            <w:shd w:val="clear" w:color="auto" w:fill="FFFFFF"/>
          </w:tcPr>
          <w:p w14:paraId="31DF6F5B" w14:textId="77777777" w:rsidR="005715B5" w:rsidRPr="0003605B" w:rsidRDefault="005715B5" w:rsidP="0003605B">
            <w:pPr>
              <w:spacing w:line="240" w:lineRule="auto"/>
              <w:rPr>
                <w:rFonts w:ascii="Times New Roman" w:hAnsi="Times New Roman"/>
                <w:color w:val="000000"/>
              </w:rPr>
            </w:pPr>
          </w:p>
        </w:tc>
        <w:tc>
          <w:tcPr>
            <w:tcW w:w="1547" w:type="dxa"/>
            <w:gridSpan w:val="3"/>
            <w:shd w:val="clear" w:color="auto" w:fill="FFFFFF"/>
          </w:tcPr>
          <w:p w14:paraId="63BFBA64" w14:textId="77777777" w:rsidR="005715B5" w:rsidRPr="0003605B" w:rsidRDefault="005715B5" w:rsidP="0003605B">
            <w:pPr>
              <w:spacing w:line="240" w:lineRule="auto"/>
              <w:rPr>
                <w:rFonts w:ascii="Times New Roman" w:hAnsi="Times New Roman"/>
                <w:color w:val="000000"/>
              </w:rPr>
            </w:pPr>
          </w:p>
        </w:tc>
      </w:tr>
      <w:tr w:rsidR="005715B5" w:rsidRPr="0003605B" w14:paraId="4E012092" w14:textId="77777777" w:rsidTr="009C3613">
        <w:trPr>
          <w:gridAfter w:val="2"/>
          <w:wAfter w:w="7237" w:type="dxa"/>
          <w:trHeight w:val="348"/>
        </w:trPr>
        <w:tc>
          <w:tcPr>
            <w:tcW w:w="2242" w:type="dxa"/>
            <w:gridSpan w:val="3"/>
            <w:shd w:val="clear" w:color="auto" w:fill="FFFFFF"/>
            <w:vAlign w:val="center"/>
          </w:tcPr>
          <w:p w14:paraId="3D94DFD7"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 xml:space="preserve">Źródła finansowania </w:t>
            </w:r>
          </w:p>
        </w:tc>
        <w:tc>
          <w:tcPr>
            <w:tcW w:w="8696" w:type="dxa"/>
            <w:gridSpan w:val="26"/>
            <w:shd w:val="clear" w:color="auto" w:fill="FFFFFF"/>
            <w:vAlign w:val="center"/>
          </w:tcPr>
          <w:p w14:paraId="135C10E7" w14:textId="39CEE1A5" w:rsidR="005715B5" w:rsidRPr="0003605B" w:rsidRDefault="005715B5" w:rsidP="0003605B">
            <w:pPr>
              <w:autoSpaceDE w:val="0"/>
              <w:autoSpaceDN w:val="0"/>
              <w:adjustRightInd w:val="0"/>
              <w:spacing w:line="240" w:lineRule="auto"/>
              <w:jc w:val="both"/>
              <w:rPr>
                <w:rFonts w:ascii="Times New Roman" w:eastAsiaTheme="minorHAnsi" w:hAnsi="Times New Roman"/>
              </w:rPr>
            </w:pPr>
            <w:r w:rsidRPr="0003605B">
              <w:rPr>
                <w:rFonts w:ascii="Times New Roman" w:hAnsi="Times New Roman"/>
              </w:rPr>
              <w:t>Wejście w życie ustawy nie spowoduje zmiany poziomu dochodów i wydatków jednostek sektora finansów publicznych.</w:t>
            </w:r>
            <w:r w:rsidR="00956E08" w:rsidRPr="0003605B">
              <w:rPr>
                <w:rFonts w:ascii="Times New Roman" w:hAnsi="Times New Roman"/>
              </w:rPr>
              <w:t xml:space="preserve"> </w:t>
            </w:r>
            <w:r w:rsidR="00956E08" w:rsidRPr="0003605B">
              <w:rPr>
                <w:rFonts w:ascii="Times New Roman" w:eastAsiaTheme="minorHAnsi" w:hAnsi="Times New Roman"/>
              </w:rPr>
              <w:t xml:space="preserve">Ewentualne skutki finansowe wynikające z wejścia w </w:t>
            </w:r>
            <w:proofErr w:type="gramStart"/>
            <w:r w:rsidR="00956E08" w:rsidRPr="0003605B">
              <w:rPr>
                <w:rFonts w:ascii="Times New Roman" w:eastAsiaTheme="minorHAnsi" w:hAnsi="Times New Roman"/>
              </w:rPr>
              <w:t>życie  rozporządzenia</w:t>
            </w:r>
            <w:proofErr w:type="gramEnd"/>
            <w:r w:rsidR="00956E08" w:rsidRPr="0003605B">
              <w:rPr>
                <w:rFonts w:ascii="Times New Roman" w:eastAsiaTheme="minorHAnsi" w:hAnsi="Times New Roman"/>
              </w:rPr>
              <w:t xml:space="preserve"> zostaną pokryte w ramach dotychczasowych środków finansowych i nie będą stanowić podstawy do ubiegania się o dodatkowe środki z budżetu państwa w roku wejścia w życie ww. rozporządzenia oraz w kolejnych latach.</w:t>
            </w:r>
          </w:p>
        </w:tc>
      </w:tr>
      <w:tr w:rsidR="005715B5" w:rsidRPr="0003605B" w14:paraId="40A61969" w14:textId="77777777" w:rsidTr="009C3613">
        <w:trPr>
          <w:gridAfter w:val="2"/>
          <w:wAfter w:w="7237" w:type="dxa"/>
          <w:trHeight w:val="124"/>
        </w:trPr>
        <w:tc>
          <w:tcPr>
            <w:tcW w:w="2242" w:type="dxa"/>
            <w:gridSpan w:val="3"/>
            <w:shd w:val="clear" w:color="auto" w:fill="FFFFFF"/>
          </w:tcPr>
          <w:p w14:paraId="1C4B52CA"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Dodatkowe informacje, w tym wskazanie źródeł danych i przyjętych do obliczeń założeń</w:t>
            </w:r>
          </w:p>
        </w:tc>
        <w:tc>
          <w:tcPr>
            <w:tcW w:w="8696" w:type="dxa"/>
            <w:gridSpan w:val="26"/>
            <w:shd w:val="clear" w:color="auto" w:fill="FFFFFF"/>
            <w:vAlign w:val="center"/>
          </w:tcPr>
          <w:p w14:paraId="242F2B8A" w14:textId="77777777" w:rsidR="005715B5" w:rsidRPr="0003605B" w:rsidRDefault="005715B5" w:rsidP="0003605B">
            <w:pPr>
              <w:pStyle w:val="Default"/>
              <w:jc w:val="both"/>
              <w:rPr>
                <w:sz w:val="22"/>
                <w:szCs w:val="22"/>
              </w:rPr>
            </w:pPr>
          </w:p>
        </w:tc>
      </w:tr>
      <w:tr w:rsidR="005715B5" w:rsidRPr="0003605B" w14:paraId="5E24D1C3" w14:textId="77777777" w:rsidTr="009C3613">
        <w:trPr>
          <w:trHeight w:val="345"/>
        </w:trPr>
        <w:tc>
          <w:tcPr>
            <w:tcW w:w="10938" w:type="dxa"/>
            <w:gridSpan w:val="29"/>
            <w:shd w:val="clear" w:color="auto" w:fill="99CCFF"/>
          </w:tcPr>
          <w:p w14:paraId="3F29A78A" w14:textId="77777777" w:rsidR="005715B5" w:rsidRPr="0003605B" w:rsidRDefault="005715B5" w:rsidP="0003605B">
            <w:pPr>
              <w:numPr>
                <w:ilvl w:val="0"/>
                <w:numId w:val="1"/>
              </w:numPr>
              <w:spacing w:before="120" w:after="120" w:line="240" w:lineRule="auto"/>
              <w:jc w:val="both"/>
              <w:rPr>
                <w:rFonts w:ascii="Times New Roman" w:hAnsi="Times New Roman"/>
                <w:b/>
                <w:color w:val="000000"/>
                <w:spacing w:val="-2"/>
              </w:rPr>
            </w:pPr>
            <w:r w:rsidRPr="0003605B">
              <w:rPr>
                <w:rFonts w:ascii="Times New Roman" w:hAnsi="Times New Roman"/>
                <w:b/>
                <w:color w:val="000000"/>
                <w:spacing w:val="-2"/>
              </w:rPr>
              <w:t xml:space="preserve">Wpływ na </w:t>
            </w:r>
            <w:r w:rsidRPr="0003605B">
              <w:rPr>
                <w:rFonts w:ascii="Times New Roman" w:hAnsi="Times New Roman"/>
                <w:b/>
                <w:color w:val="000000"/>
              </w:rPr>
              <w:t xml:space="preserve">konkurencyjność gospodarki i przedsiębiorczość, w tym funkcjonowanie przedsiębiorców oraz na rodzinę, obywateli i gospodarstwa domowe </w:t>
            </w:r>
          </w:p>
        </w:tc>
        <w:tc>
          <w:tcPr>
            <w:tcW w:w="7237" w:type="dxa"/>
            <w:gridSpan w:val="2"/>
          </w:tcPr>
          <w:p w14:paraId="3C0D1D2B" w14:textId="77777777" w:rsidR="005715B5" w:rsidRPr="0003605B" w:rsidRDefault="005715B5" w:rsidP="0003605B">
            <w:pPr>
              <w:spacing w:line="240" w:lineRule="auto"/>
              <w:jc w:val="both"/>
              <w:rPr>
                <w:rFonts w:ascii="Times New Roman" w:hAnsi="Times New Roman"/>
                <w:spacing w:val="-2"/>
              </w:rPr>
            </w:pPr>
          </w:p>
        </w:tc>
      </w:tr>
      <w:tr w:rsidR="005715B5" w:rsidRPr="0003605B" w14:paraId="41BD9775" w14:textId="77777777" w:rsidTr="009C3613">
        <w:trPr>
          <w:gridAfter w:val="2"/>
          <w:wAfter w:w="7237" w:type="dxa"/>
          <w:trHeight w:val="142"/>
        </w:trPr>
        <w:tc>
          <w:tcPr>
            <w:tcW w:w="10938" w:type="dxa"/>
            <w:gridSpan w:val="29"/>
            <w:shd w:val="clear" w:color="auto" w:fill="FFFFFF"/>
          </w:tcPr>
          <w:p w14:paraId="45900932" w14:textId="77777777" w:rsidR="005715B5" w:rsidRPr="0003605B" w:rsidRDefault="005715B5" w:rsidP="0003605B">
            <w:pPr>
              <w:spacing w:line="240" w:lineRule="auto"/>
              <w:jc w:val="center"/>
              <w:rPr>
                <w:rFonts w:ascii="Times New Roman" w:hAnsi="Times New Roman"/>
                <w:color w:val="000000"/>
                <w:spacing w:val="-2"/>
              </w:rPr>
            </w:pPr>
            <w:r w:rsidRPr="0003605B">
              <w:rPr>
                <w:rFonts w:ascii="Times New Roman" w:hAnsi="Times New Roman"/>
                <w:color w:val="000000"/>
                <w:spacing w:val="-2"/>
              </w:rPr>
              <w:t>Skutki</w:t>
            </w:r>
          </w:p>
        </w:tc>
      </w:tr>
      <w:tr w:rsidR="005715B5" w:rsidRPr="0003605B" w14:paraId="3BA3D327" w14:textId="77777777" w:rsidTr="009C3613">
        <w:trPr>
          <w:gridAfter w:val="2"/>
          <w:wAfter w:w="7237" w:type="dxa"/>
          <w:trHeight w:val="142"/>
        </w:trPr>
        <w:tc>
          <w:tcPr>
            <w:tcW w:w="3888" w:type="dxa"/>
            <w:gridSpan w:val="8"/>
            <w:shd w:val="clear" w:color="auto" w:fill="FFFFFF"/>
          </w:tcPr>
          <w:p w14:paraId="21684A9C"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Czas w latach od wejścia w życie zmian</w:t>
            </w:r>
          </w:p>
        </w:tc>
        <w:tc>
          <w:tcPr>
            <w:tcW w:w="937" w:type="dxa"/>
            <w:gridSpan w:val="2"/>
            <w:shd w:val="clear" w:color="auto" w:fill="FFFFFF"/>
          </w:tcPr>
          <w:p w14:paraId="3902F3C0"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0</w:t>
            </w:r>
          </w:p>
        </w:tc>
        <w:tc>
          <w:tcPr>
            <w:tcW w:w="938" w:type="dxa"/>
            <w:gridSpan w:val="5"/>
            <w:shd w:val="clear" w:color="auto" w:fill="FFFFFF"/>
          </w:tcPr>
          <w:p w14:paraId="414DE59D"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1</w:t>
            </w:r>
          </w:p>
        </w:tc>
        <w:tc>
          <w:tcPr>
            <w:tcW w:w="938" w:type="dxa"/>
            <w:gridSpan w:val="4"/>
            <w:shd w:val="clear" w:color="auto" w:fill="FFFFFF"/>
          </w:tcPr>
          <w:p w14:paraId="646EA235"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2</w:t>
            </w:r>
          </w:p>
        </w:tc>
        <w:tc>
          <w:tcPr>
            <w:tcW w:w="937" w:type="dxa"/>
            <w:gridSpan w:val="3"/>
            <w:shd w:val="clear" w:color="auto" w:fill="FFFFFF"/>
          </w:tcPr>
          <w:p w14:paraId="0351B3DC"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3</w:t>
            </w:r>
          </w:p>
        </w:tc>
        <w:tc>
          <w:tcPr>
            <w:tcW w:w="938" w:type="dxa"/>
            <w:gridSpan w:val="3"/>
            <w:shd w:val="clear" w:color="auto" w:fill="FFFFFF"/>
          </w:tcPr>
          <w:p w14:paraId="706DA1E9"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5</w:t>
            </w:r>
          </w:p>
        </w:tc>
        <w:tc>
          <w:tcPr>
            <w:tcW w:w="938" w:type="dxa"/>
            <w:gridSpan w:val="3"/>
            <w:shd w:val="clear" w:color="auto" w:fill="FFFFFF"/>
          </w:tcPr>
          <w:p w14:paraId="38E9612E" w14:textId="77777777" w:rsidR="005715B5" w:rsidRPr="0003605B" w:rsidRDefault="005715B5" w:rsidP="0003605B">
            <w:pPr>
              <w:spacing w:line="240" w:lineRule="auto"/>
              <w:jc w:val="center"/>
              <w:rPr>
                <w:rFonts w:ascii="Times New Roman" w:hAnsi="Times New Roman"/>
                <w:color w:val="000000"/>
              </w:rPr>
            </w:pPr>
            <w:r w:rsidRPr="0003605B">
              <w:rPr>
                <w:rFonts w:ascii="Times New Roman" w:hAnsi="Times New Roman"/>
                <w:color w:val="000000"/>
              </w:rPr>
              <w:t>10</w:t>
            </w:r>
          </w:p>
        </w:tc>
        <w:tc>
          <w:tcPr>
            <w:tcW w:w="1424" w:type="dxa"/>
            <w:shd w:val="clear" w:color="auto" w:fill="FFFFFF"/>
          </w:tcPr>
          <w:p w14:paraId="6C420417" w14:textId="44A8823E" w:rsidR="005715B5" w:rsidRPr="0003605B" w:rsidRDefault="005715B5" w:rsidP="0003605B">
            <w:pPr>
              <w:spacing w:line="240" w:lineRule="auto"/>
              <w:jc w:val="center"/>
              <w:rPr>
                <w:rFonts w:ascii="Times New Roman" w:hAnsi="Times New Roman"/>
                <w:i/>
                <w:color w:val="000000"/>
                <w:spacing w:val="-2"/>
              </w:rPr>
            </w:pPr>
            <w:r w:rsidRPr="0003605B">
              <w:rPr>
                <w:rFonts w:ascii="Times New Roman" w:hAnsi="Times New Roman"/>
                <w:i/>
                <w:color w:val="000000"/>
                <w:spacing w:val="-2"/>
              </w:rPr>
              <w:t>Łącznie</w:t>
            </w:r>
            <w:r w:rsidRPr="0003605B" w:rsidDel="0073273A">
              <w:rPr>
                <w:rFonts w:ascii="Times New Roman" w:hAnsi="Times New Roman"/>
                <w:i/>
                <w:color w:val="000000"/>
                <w:spacing w:val="-2"/>
              </w:rPr>
              <w:t xml:space="preserve"> </w:t>
            </w:r>
            <w:r w:rsidR="00D80B7E">
              <w:rPr>
                <w:rFonts w:ascii="Times New Roman" w:hAnsi="Times New Roman"/>
                <w:i/>
                <w:color w:val="000000"/>
                <w:spacing w:val="-2"/>
              </w:rPr>
              <w:br/>
            </w:r>
            <w:r w:rsidRPr="0003605B">
              <w:rPr>
                <w:rFonts w:ascii="Times New Roman" w:hAnsi="Times New Roman"/>
                <w:i/>
                <w:color w:val="000000"/>
                <w:spacing w:val="-2"/>
              </w:rPr>
              <w:t>(0-10)</w:t>
            </w:r>
          </w:p>
        </w:tc>
      </w:tr>
      <w:tr w:rsidR="005715B5" w:rsidRPr="0003605B" w14:paraId="553FD439" w14:textId="77777777" w:rsidTr="009C3613">
        <w:trPr>
          <w:gridAfter w:val="2"/>
          <w:wAfter w:w="7237" w:type="dxa"/>
          <w:trHeight w:val="142"/>
        </w:trPr>
        <w:tc>
          <w:tcPr>
            <w:tcW w:w="1595" w:type="dxa"/>
            <w:vMerge w:val="restart"/>
            <w:shd w:val="clear" w:color="auto" w:fill="FFFFFF"/>
          </w:tcPr>
          <w:p w14:paraId="16E84F1F"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W ujęciu pieniężnym</w:t>
            </w:r>
          </w:p>
          <w:p w14:paraId="69300478" w14:textId="77777777" w:rsidR="005715B5" w:rsidRPr="0003605B" w:rsidRDefault="005715B5" w:rsidP="0003605B">
            <w:pPr>
              <w:spacing w:line="240" w:lineRule="auto"/>
              <w:rPr>
                <w:rFonts w:ascii="Times New Roman" w:hAnsi="Times New Roman"/>
                <w:spacing w:val="-2"/>
              </w:rPr>
            </w:pPr>
            <w:r w:rsidRPr="0003605B">
              <w:rPr>
                <w:rFonts w:ascii="Times New Roman" w:hAnsi="Times New Roman"/>
                <w:spacing w:val="-2"/>
              </w:rPr>
              <w:t xml:space="preserve">(w mln zł, </w:t>
            </w:r>
          </w:p>
          <w:p w14:paraId="72284FE0" w14:textId="1E229651" w:rsidR="005715B5" w:rsidRPr="0003605B" w:rsidRDefault="005715B5" w:rsidP="0003605B">
            <w:pPr>
              <w:spacing w:line="240" w:lineRule="auto"/>
              <w:rPr>
                <w:rFonts w:ascii="Times New Roman" w:hAnsi="Times New Roman"/>
                <w:color w:val="000000"/>
              </w:rPr>
            </w:pPr>
            <w:r w:rsidRPr="0003605B">
              <w:rPr>
                <w:rFonts w:ascii="Times New Roman" w:hAnsi="Times New Roman"/>
                <w:spacing w:val="-2"/>
              </w:rPr>
              <w:t xml:space="preserve">ceny stałe z </w:t>
            </w:r>
            <w:r w:rsidR="006D686D" w:rsidRPr="0003605B">
              <w:rPr>
                <w:rFonts w:ascii="Times New Roman" w:hAnsi="Times New Roman"/>
                <w:spacing w:val="-2"/>
              </w:rPr>
              <w:t xml:space="preserve">2020 </w:t>
            </w:r>
            <w:r w:rsidRPr="0003605B">
              <w:rPr>
                <w:rFonts w:ascii="Times New Roman" w:hAnsi="Times New Roman"/>
                <w:spacing w:val="-2"/>
              </w:rPr>
              <w:t>r.)</w:t>
            </w:r>
          </w:p>
        </w:tc>
        <w:tc>
          <w:tcPr>
            <w:tcW w:w="2293" w:type="dxa"/>
            <w:gridSpan w:val="7"/>
            <w:shd w:val="clear" w:color="auto" w:fill="FFFFFF"/>
          </w:tcPr>
          <w:p w14:paraId="0F8D2DE1"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duże przedsiębiorstwa</w:t>
            </w:r>
          </w:p>
        </w:tc>
        <w:tc>
          <w:tcPr>
            <w:tcW w:w="937" w:type="dxa"/>
            <w:gridSpan w:val="2"/>
            <w:shd w:val="clear" w:color="auto" w:fill="FFFFFF"/>
          </w:tcPr>
          <w:p w14:paraId="3625BAA0" w14:textId="77777777" w:rsidR="005715B5" w:rsidRPr="0003605B" w:rsidRDefault="005715B5" w:rsidP="0003605B">
            <w:pPr>
              <w:spacing w:line="240" w:lineRule="auto"/>
              <w:rPr>
                <w:rFonts w:ascii="Times New Roman" w:hAnsi="Times New Roman"/>
                <w:color w:val="000000"/>
              </w:rPr>
            </w:pPr>
          </w:p>
        </w:tc>
        <w:tc>
          <w:tcPr>
            <w:tcW w:w="938" w:type="dxa"/>
            <w:gridSpan w:val="5"/>
            <w:shd w:val="clear" w:color="auto" w:fill="FFFFFF"/>
          </w:tcPr>
          <w:p w14:paraId="60755434" w14:textId="77777777" w:rsidR="005715B5" w:rsidRPr="0003605B" w:rsidRDefault="005715B5" w:rsidP="0003605B">
            <w:pPr>
              <w:spacing w:line="240" w:lineRule="auto"/>
              <w:rPr>
                <w:rFonts w:ascii="Times New Roman" w:hAnsi="Times New Roman"/>
                <w:color w:val="000000"/>
              </w:rPr>
            </w:pPr>
          </w:p>
        </w:tc>
        <w:tc>
          <w:tcPr>
            <w:tcW w:w="938" w:type="dxa"/>
            <w:gridSpan w:val="4"/>
            <w:shd w:val="clear" w:color="auto" w:fill="FFFFFF"/>
          </w:tcPr>
          <w:p w14:paraId="102C450E" w14:textId="77777777" w:rsidR="005715B5" w:rsidRPr="0003605B" w:rsidRDefault="005715B5" w:rsidP="0003605B">
            <w:pPr>
              <w:spacing w:line="240" w:lineRule="auto"/>
              <w:rPr>
                <w:rFonts w:ascii="Times New Roman" w:hAnsi="Times New Roman"/>
                <w:color w:val="000000"/>
              </w:rPr>
            </w:pPr>
          </w:p>
        </w:tc>
        <w:tc>
          <w:tcPr>
            <w:tcW w:w="937" w:type="dxa"/>
            <w:gridSpan w:val="3"/>
            <w:shd w:val="clear" w:color="auto" w:fill="FFFFFF"/>
          </w:tcPr>
          <w:p w14:paraId="0D61EEB9" w14:textId="77777777" w:rsidR="005715B5" w:rsidRPr="0003605B" w:rsidRDefault="005715B5" w:rsidP="0003605B">
            <w:pPr>
              <w:spacing w:line="240" w:lineRule="auto"/>
              <w:rPr>
                <w:rFonts w:ascii="Times New Roman" w:hAnsi="Times New Roman"/>
                <w:color w:val="000000"/>
              </w:rPr>
            </w:pPr>
          </w:p>
        </w:tc>
        <w:tc>
          <w:tcPr>
            <w:tcW w:w="938" w:type="dxa"/>
            <w:gridSpan w:val="3"/>
            <w:shd w:val="clear" w:color="auto" w:fill="FFFFFF"/>
          </w:tcPr>
          <w:p w14:paraId="010FF15F" w14:textId="77777777" w:rsidR="005715B5" w:rsidRPr="0003605B" w:rsidRDefault="005715B5" w:rsidP="0003605B">
            <w:pPr>
              <w:spacing w:line="240" w:lineRule="auto"/>
              <w:rPr>
                <w:rFonts w:ascii="Times New Roman" w:hAnsi="Times New Roman"/>
                <w:color w:val="000000"/>
              </w:rPr>
            </w:pPr>
          </w:p>
        </w:tc>
        <w:tc>
          <w:tcPr>
            <w:tcW w:w="938" w:type="dxa"/>
            <w:gridSpan w:val="3"/>
            <w:shd w:val="clear" w:color="auto" w:fill="FFFFFF"/>
          </w:tcPr>
          <w:p w14:paraId="5BAB8BE6" w14:textId="77777777" w:rsidR="005715B5" w:rsidRPr="0003605B" w:rsidRDefault="005715B5" w:rsidP="0003605B">
            <w:pPr>
              <w:spacing w:line="240" w:lineRule="auto"/>
              <w:rPr>
                <w:rFonts w:ascii="Times New Roman" w:hAnsi="Times New Roman"/>
                <w:color w:val="000000"/>
              </w:rPr>
            </w:pPr>
          </w:p>
        </w:tc>
        <w:tc>
          <w:tcPr>
            <w:tcW w:w="1424" w:type="dxa"/>
            <w:shd w:val="clear" w:color="auto" w:fill="FFFFFF"/>
          </w:tcPr>
          <w:p w14:paraId="5F22CDD9" w14:textId="77777777" w:rsidR="005715B5" w:rsidRPr="0003605B" w:rsidRDefault="005715B5" w:rsidP="0003605B">
            <w:pPr>
              <w:spacing w:line="240" w:lineRule="auto"/>
              <w:rPr>
                <w:rFonts w:ascii="Times New Roman" w:hAnsi="Times New Roman"/>
                <w:color w:val="000000"/>
                <w:spacing w:val="-2"/>
              </w:rPr>
            </w:pPr>
          </w:p>
        </w:tc>
      </w:tr>
      <w:tr w:rsidR="005715B5" w:rsidRPr="0003605B" w14:paraId="67C3160B" w14:textId="77777777" w:rsidTr="009C3613">
        <w:trPr>
          <w:gridAfter w:val="2"/>
          <w:wAfter w:w="7237" w:type="dxa"/>
          <w:trHeight w:val="142"/>
        </w:trPr>
        <w:tc>
          <w:tcPr>
            <w:tcW w:w="1595" w:type="dxa"/>
            <w:vMerge/>
            <w:shd w:val="clear" w:color="auto" w:fill="FFFFFF"/>
          </w:tcPr>
          <w:p w14:paraId="0CBD791C" w14:textId="77777777" w:rsidR="005715B5" w:rsidRPr="0003605B" w:rsidRDefault="005715B5" w:rsidP="0003605B">
            <w:pPr>
              <w:spacing w:line="240" w:lineRule="auto"/>
              <w:rPr>
                <w:rFonts w:ascii="Times New Roman" w:hAnsi="Times New Roman"/>
                <w:color w:val="000000"/>
              </w:rPr>
            </w:pPr>
          </w:p>
        </w:tc>
        <w:tc>
          <w:tcPr>
            <w:tcW w:w="2293" w:type="dxa"/>
            <w:gridSpan w:val="7"/>
            <w:shd w:val="clear" w:color="auto" w:fill="FFFFFF"/>
          </w:tcPr>
          <w:p w14:paraId="5BDBD7F3"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 xml:space="preserve">sektor mikro-, małych </w:t>
            </w:r>
            <w:r w:rsidRPr="0003605B">
              <w:rPr>
                <w:rFonts w:ascii="Times New Roman" w:hAnsi="Times New Roman"/>
                <w:color w:val="000000"/>
              </w:rPr>
              <w:br/>
              <w:t>i średnich przedsiębiorstw</w:t>
            </w:r>
          </w:p>
        </w:tc>
        <w:tc>
          <w:tcPr>
            <w:tcW w:w="937" w:type="dxa"/>
            <w:gridSpan w:val="2"/>
            <w:shd w:val="clear" w:color="auto" w:fill="FFFFFF"/>
          </w:tcPr>
          <w:p w14:paraId="1BF868A3" w14:textId="77777777" w:rsidR="005715B5" w:rsidRPr="0003605B" w:rsidRDefault="005715B5" w:rsidP="0003605B">
            <w:pPr>
              <w:spacing w:line="240" w:lineRule="auto"/>
              <w:rPr>
                <w:rFonts w:ascii="Times New Roman" w:hAnsi="Times New Roman"/>
                <w:color w:val="000000"/>
              </w:rPr>
            </w:pPr>
          </w:p>
        </w:tc>
        <w:tc>
          <w:tcPr>
            <w:tcW w:w="938" w:type="dxa"/>
            <w:gridSpan w:val="5"/>
            <w:shd w:val="clear" w:color="auto" w:fill="FFFFFF"/>
          </w:tcPr>
          <w:p w14:paraId="23D2E326" w14:textId="77777777" w:rsidR="005715B5" w:rsidRPr="0003605B" w:rsidRDefault="005715B5" w:rsidP="0003605B">
            <w:pPr>
              <w:spacing w:line="240" w:lineRule="auto"/>
              <w:rPr>
                <w:rFonts w:ascii="Times New Roman" w:hAnsi="Times New Roman"/>
                <w:color w:val="000000"/>
              </w:rPr>
            </w:pPr>
          </w:p>
        </w:tc>
        <w:tc>
          <w:tcPr>
            <w:tcW w:w="938" w:type="dxa"/>
            <w:gridSpan w:val="4"/>
            <w:shd w:val="clear" w:color="auto" w:fill="FFFFFF"/>
          </w:tcPr>
          <w:p w14:paraId="6C60E98A" w14:textId="77777777" w:rsidR="005715B5" w:rsidRPr="0003605B" w:rsidRDefault="005715B5" w:rsidP="0003605B">
            <w:pPr>
              <w:spacing w:line="240" w:lineRule="auto"/>
              <w:rPr>
                <w:rFonts w:ascii="Times New Roman" w:hAnsi="Times New Roman"/>
                <w:color w:val="000000"/>
              </w:rPr>
            </w:pPr>
          </w:p>
        </w:tc>
        <w:tc>
          <w:tcPr>
            <w:tcW w:w="937" w:type="dxa"/>
            <w:gridSpan w:val="3"/>
            <w:shd w:val="clear" w:color="auto" w:fill="FFFFFF"/>
          </w:tcPr>
          <w:p w14:paraId="5CEC50F0" w14:textId="77777777" w:rsidR="005715B5" w:rsidRPr="0003605B" w:rsidRDefault="005715B5" w:rsidP="0003605B">
            <w:pPr>
              <w:spacing w:line="240" w:lineRule="auto"/>
              <w:rPr>
                <w:rFonts w:ascii="Times New Roman" w:hAnsi="Times New Roman"/>
                <w:color w:val="000000"/>
              </w:rPr>
            </w:pPr>
          </w:p>
        </w:tc>
        <w:tc>
          <w:tcPr>
            <w:tcW w:w="938" w:type="dxa"/>
            <w:gridSpan w:val="3"/>
            <w:shd w:val="clear" w:color="auto" w:fill="FFFFFF"/>
          </w:tcPr>
          <w:p w14:paraId="70E9E020" w14:textId="77777777" w:rsidR="005715B5" w:rsidRPr="0003605B" w:rsidRDefault="005715B5" w:rsidP="0003605B">
            <w:pPr>
              <w:spacing w:line="240" w:lineRule="auto"/>
              <w:rPr>
                <w:rFonts w:ascii="Times New Roman" w:hAnsi="Times New Roman"/>
                <w:color w:val="000000"/>
              </w:rPr>
            </w:pPr>
          </w:p>
        </w:tc>
        <w:tc>
          <w:tcPr>
            <w:tcW w:w="938" w:type="dxa"/>
            <w:gridSpan w:val="3"/>
            <w:shd w:val="clear" w:color="auto" w:fill="FFFFFF"/>
          </w:tcPr>
          <w:p w14:paraId="57481CC4" w14:textId="77777777" w:rsidR="005715B5" w:rsidRPr="0003605B" w:rsidRDefault="005715B5" w:rsidP="0003605B">
            <w:pPr>
              <w:spacing w:line="240" w:lineRule="auto"/>
              <w:rPr>
                <w:rFonts w:ascii="Times New Roman" w:hAnsi="Times New Roman"/>
                <w:color w:val="000000"/>
              </w:rPr>
            </w:pPr>
          </w:p>
        </w:tc>
        <w:tc>
          <w:tcPr>
            <w:tcW w:w="1424" w:type="dxa"/>
            <w:shd w:val="clear" w:color="auto" w:fill="FFFFFF"/>
          </w:tcPr>
          <w:p w14:paraId="04846FD6" w14:textId="77777777" w:rsidR="005715B5" w:rsidRPr="0003605B" w:rsidRDefault="005715B5" w:rsidP="0003605B">
            <w:pPr>
              <w:spacing w:line="240" w:lineRule="auto"/>
              <w:rPr>
                <w:rFonts w:ascii="Times New Roman" w:hAnsi="Times New Roman"/>
                <w:color w:val="000000"/>
                <w:spacing w:val="-2"/>
              </w:rPr>
            </w:pPr>
          </w:p>
        </w:tc>
      </w:tr>
      <w:tr w:rsidR="005715B5" w:rsidRPr="0003605B" w14:paraId="35BDA32E" w14:textId="77777777" w:rsidTr="009C3613">
        <w:trPr>
          <w:gridAfter w:val="2"/>
          <w:wAfter w:w="7237" w:type="dxa"/>
          <w:trHeight w:val="142"/>
        </w:trPr>
        <w:tc>
          <w:tcPr>
            <w:tcW w:w="1595" w:type="dxa"/>
            <w:vMerge/>
            <w:shd w:val="clear" w:color="auto" w:fill="FFFFFF"/>
          </w:tcPr>
          <w:p w14:paraId="423191C4" w14:textId="77777777" w:rsidR="005715B5" w:rsidRPr="0003605B" w:rsidRDefault="005715B5" w:rsidP="0003605B">
            <w:pPr>
              <w:spacing w:line="240" w:lineRule="auto"/>
              <w:rPr>
                <w:rFonts w:ascii="Times New Roman" w:hAnsi="Times New Roman"/>
                <w:color w:val="000000"/>
              </w:rPr>
            </w:pPr>
          </w:p>
        </w:tc>
        <w:tc>
          <w:tcPr>
            <w:tcW w:w="2293" w:type="dxa"/>
            <w:gridSpan w:val="7"/>
            <w:shd w:val="clear" w:color="auto" w:fill="FFFFFF"/>
          </w:tcPr>
          <w:p w14:paraId="02B1EA04"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rPr>
              <w:t>rodzina, obywatele, gospodarstwa domowe, osoby niepełnosprawne oraz osoby starsze</w:t>
            </w:r>
          </w:p>
        </w:tc>
        <w:tc>
          <w:tcPr>
            <w:tcW w:w="937" w:type="dxa"/>
            <w:gridSpan w:val="2"/>
            <w:shd w:val="clear" w:color="auto" w:fill="FFFFFF"/>
          </w:tcPr>
          <w:p w14:paraId="7E6B5ECF" w14:textId="77777777" w:rsidR="005715B5" w:rsidRPr="0003605B" w:rsidRDefault="005715B5" w:rsidP="0003605B">
            <w:pPr>
              <w:spacing w:line="240" w:lineRule="auto"/>
              <w:rPr>
                <w:rFonts w:ascii="Times New Roman" w:hAnsi="Times New Roman"/>
                <w:color w:val="000000"/>
              </w:rPr>
            </w:pPr>
          </w:p>
        </w:tc>
        <w:tc>
          <w:tcPr>
            <w:tcW w:w="938" w:type="dxa"/>
            <w:gridSpan w:val="5"/>
            <w:shd w:val="clear" w:color="auto" w:fill="FFFFFF"/>
          </w:tcPr>
          <w:p w14:paraId="782136B7" w14:textId="77777777" w:rsidR="005715B5" w:rsidRPr="0003605B" w:rsidRDefault="005715B5" w:rsidP="0003605B">
            <w:pPr>
              <w:spacing w:line="240" w:lineRule="auto"/>
              <w:rPr>
                <w:rFonts w:ascii="Times New Roman" w:hAnsi="Times New Roman"/>
                <w:color w:val="000000"/>
              </w:rPr>
            </w:pPr>
          </w:p>
        </w:tc>
        <w:tc>
          <w:tcPr>
            <w:tcW w:w="938" w:type="dxa"/>
            <w:gridSpan w:val="4"/>
            <w:shd w:val="clear" w:color="auto" w:fill="FFFFFF"/>
          </w:tcPr>
          <w:p w14:paraId="2D3D03A4" w14:textId="77777777" w:rsidR="005715B5" w:rsidRPr="0003605B" w:rsidRDefault="005715B5" w:rsidP="0003605B">
            <w:pPr>
              <w:spacing w:line="240" w:lineRule="auto"/>
              <w:rPr>
                <w:rFonts w:ascii="Times New Roman" w:hAnsi="Times New Roman"/>
                <w:color w:val="000000"/>
              </w:rPr>
            </w:pPr>
          </w:p>
        </w:tc>
        <w:tc>
          <w:tcPr>
            <w:tcW w:w="937" w:type="dxa"/>
            <w:gridSpan w:val="3"/>
            <w:shd w:val="clear" w:color="auto" w:fill="FFFFFF"/>
          </w:tcPr>
          <w:p w14:paraId="18C1797B" w14:textId="77777777" w:rsidR="005715B5" w:rsidRPr="0003605B" w:rsidRDefault="005715B5" w:rsidP="0003605B">
            <w:pPr>
              <w:spacing w:line="240" w:lineRule="auto"/>
              <w:rPr>
                <w:rFonts w:ascii="Times New Roman" w:hAnsi="Times New Roman"/>
                <w:color w:val="000000"/>
              </w:rPr>
            </w:pPr>
          </w:p>
        </w:tc>
        <w:tc>
          <w:tcPr>
            <w:tcW w:w="938" w:type="dxa"/>
            <w:gridSpan w:val="3"/>
            <w:shd w:val="clear" w:color="auto" w:fill="FFFFFF"/>
          </w:tcPr>
          <w:p w14:paraId="515E216C" w14:textId="77777777" w:rsidR="005715B5" w:rsidRPr="0003605B" w:rsidRDefault="005715B5" w:rsidP="0003605B">
            <w:pPr>
              <w:spacing w:line="240" w:lineRule="auto"/>
              <w:rPr>
                <w:rFonts w:ascii="Times New Roman" w:hAnsi="Times New Roman"/>
                <w:color w:val="000000"/>
              </w:rPr>
            </w:pPr>
          </w:p>
        </w:tc>
        <w:tc>
          <w:tcPr>
            <w:tcW w:w="938" w:type="dxa"/>
            <w:gridSpan w:val="3"/>
            <w:shd w:val="clear" w:color="auto" w:fill="FFFFFF"/>
          </w:tcPr>
          <w:p w14:paraId="23351FDA" w14:textId="77777777" w:rsidR="005715B5" w:rsidRPr="0003605B" w:rsidRDefault="005715B5" w:rsidP="0003605B">
            <w:pPr>
              <w:spacing w:line="240" w:lineRule="auto"/>
              <w:rPr>
                <w:rFonts w:ascii="Times New Roman" w:hAnsi="Times New Roman"/>
                <w:color w:val="000000"/>
              </w:rPr>
            </w:pPr>
          </w:p>
        </w:tc>
        <w:tc>
          <w:tcPr>
            <w:tcW w:w="1424" w:type="dxa"/>
            <w:shd w:val="clear" w:color="auto" w:fill="FFFFFF"/>
          </w:tcPr>
          <w:p w14:paraId="4813AC16" w14:textId="77777777" w:rsidR="005715B5" w:rsidRPr="0003605B" w:rsidRDefault="005715B5" w:rsidP="0003605B">
            <w:pPr>
              <w:spacing w:line="240" w:lineRule="auto"/>
              <w:rPr>
                <w:rFonts w:ascii="Times New Roman" w:hAnsi="Times New Roman"/>
                <w:color w:val="000000"/>
                <w:spacing w:val="-2"/>
              </w:rPr>
            </w:pPr>
          </w:p>
        </w:tc>
      </w:tr>
      <w:tr w:rsidR="005715B5" w:rsidRPr="0003605B" w14:paraId="77D3C80D" w14:textId="77777777" w:rsidTr="009C3613">
        <w:trPr>
          <w:gridAfter w:val="2"/>
          <w:wAfter w:w="7237" w:type="dxa"/>
          <w:trHeight w:val="142"/>
        </w:trPr>
        <w:tc>
          <w:tcPr>
            <w:tcW w:w="1595" w:type="dxa"/>
            <w:vMerge w:val="restart"/>
            <w:shd w:val="clear" w:color="auto" w:fill="FFFFFF"/>
          </w:tcPr>
          <w:p w14:paraId="6F154DFE"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W ujęciu niepieniężnym</w:t>
            </w:r>
          </w:p>
        </w:tc>
        <w:tc>
          <w:tcPr>
            <w:tcW w:w="2293" w:type="dxa"/>
            <w:gridSpan w:val="7"/>
            <w:shd w:val="clear" w:color="auto" w:fill="FFFFFF"/>
          </w:tcPr>
          <w:p w14:paraId="1F5DF074"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duże przedsiębiorstwa</w:t>
            </w:r>
          </w:p>
        </w:tc>
        <w:tc>
          <w:tcPr>
            <w:tcW w:w="7050" w:type="dxa"/>
            <w:gridSpan w:val="21"/>
            <w:shd w:val="clear" w:color="auto" w:fill="FFFFFF"/>
            <w:vAlign w:val="center"/>
          </w:tcPr>
          <w:p w14:paraId="71DE4A42" w14:textId="77777777" w:rsidR="005715B5" w:rsidRPr="0003605B" w:rsidRDefault="005715B5" w:rsidP="0003605B">
            <w:pPr>
              <w:spacing w:line="240" w:lineRule="auto"/>
              <w:jc w:val="both"/>
              <w:rPr>
                <w:rFonts w:ascii="Times New Roman" w:hAnsi="Times New Roman"/>
                <w:color w:val="000000"/>
                <w:spacing w:val="-2"/>
              </w:rPr>
            </w:pPr>
            <w:r w:rsidRPr="0003605B">
              <w:rPr>
                <w:rFonts w:ascii="Times New Roman" w:hAnsi="Times New Roman"/>
                <w:color w:val="000000"/>
                <w:spacing w:val="-2"/>
              </w:rPr>
              <w:t>Brak wpływu.</w:t>
            </w:r>
          </w:p>
        </w:tc>
      </w:tr>
      <w:tr w:rsidR="005715B5" w:rsidRPr="0003605B" w14:paraId="69B10E5E" w14:textId="77777777" w:rsidTr="009C3613">
        <w:trPr>
          <w:gridAfter w:val="2"/>
          <w:wAfter w:w="7237" w:type="dxa"/>
          <w:trHeight w:val="142"/>
        </w:trPr>
        <w:tc>
          <w:tcPr>
            <w:tcW w:w="1595" w:type="dxa"/>
            <w:vMerge/>
            <w:shd w:val="clear" w:color="auto" w:fill="FFFFFF"/>
          </w:tcPr>
          <w:p w14:paraId="12AE8127" w14:textId="77777777" w:rsidR="005715B5" w:rsidRPr="0003605B" w:rsidRDefault="005715B5" w:rsidP="0003605B">
            <w:pPr>
              <w:spacing w:line="240" w:lineRule="auto"/>
              <w:rPr>
                <w:rFonts w:ascii="Times New Roman" w:hAnsi="Times New Roman"/>
                <w:color w:val="000000"/>
              </w:rPr>
            </w:pPr>
          </w:p>
        </w:tc>
        <w:tc>
          <w:tcPr>
            <w:tcW w:w="2293" w:type="dxa"/>
            <w:gridSpan w:val="7"/>
            <w:shd w:val="clear" w:color="auto" w:fill="FFFFFF"/>
          </w:tcPr>
          <w:p w14:paraId="4B9D7455"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 xml:space="preserve">sektor mikro-, małych </w:t>
            </w:r>
            <w:r w:rsidRPr="0003605B">
              <w:rPr>
                <w:rFonts w:ascii="Times New Roman" w:hAnsi="Times New Roman"/>
                <w:color w:val="000000"/>
              </w:rPr>
              <w:br/>
              <w:t>i średnich przedsiębiorstw</w:t>
            </w:r>
          </w:p>
        </w:tc>
        <w:tc>
          <w:tcPr>
            <w:tcW w:w="7050" w:type="dxa"/>
            <w:gridSpan w:val="21"/>
            <w:shd w:val="clear" w:color="auto" w:fill="FFFFFF"/>
          </w:tcPr>
          <w:p w14:paraId="7284BF70" w14:textId="059CB7EB" w:rsidR="005715B5" w:rsidRPr="0003605B" w:rsidRDefault="005715B5" w:rsidP="0003605B">
            <w:pPr>
              <w:spacing w:line="240" w:lineRule="auto"/>
              <w:jc w:val="both"/>
              <w:rPr>
                <w:rFonts w:ascii="Times New Roman" w:hAnsi="Times New Roman"/>
                <w:color w:val="000000"/>
                <w:spacing w:val="-2"/>
              </w:rPr>
            </w:pPr>
            <w:r w:rsidRPr="0003605B">
              <w:rPr>
                <w:rFonts w:ascii="Times New Roman" w:hAnsi="Times New Roman"/>
                <w:color w:val="000000"/>
                <w:spacing w:val="-2"/>
              </w:rPr>
              <w:t xml:space="preserve">Przedmiotowy projekt nie określa zasad podejmowania, wykonywania </w:t>
            </w:r>
            <w:r w:rsidR="00D92117" w:rsidRPr="0003605B">
              <w:rPr>
                <w:rFonts w:ascii="Times New Roman" w:hAnsi="Times New Roman"/>
                <w:color w:val="000000"/>
                <w:spacing w:val="-2"/>
              </w:rPr>
              <w:br/>
            </w:r>
            <w:r w:rsidRPr="0003605B">
              <w:rPr>
                <w:rFonts w:ascii="Times New Roman" w:hAnsi="Times New Roman"/>
                <w:color w:val="000000"/>
                <w:spacing w:val="-2"/>
              </w:rPr>
              <w:t xml:space="preserve">lub zakończenia działalności gospodarczej, w związku z czym odstąpiono </w:t>
            </w:r>
            <w:r w:rsidR="00D92117" w:rsidRPr="0003605B">
              <w:rPr>
                <w:rFonts w:ascii="Times New Roman" w:hAnsi="Times New Roman"/>
                <w:color w:val="000000"/>
                <w:spacing w:val="-2"/>
              </w:rPr>
              <w:br/>
            </w:r>
            <w:r w:rsidRPr="0003605B">
              <w:rPr>
                <w:rFonts w:ascii="Times New Roman" w:hAnsi="Times New Roman"/>
                <w:color w:val="000000"/>
                <w:spacing w:val="-2"/>
              </w:rPr>
              <w:t xml:space="preserve">od analiz i oceny przewidywanych skutków społeczno-gospodarczych, wskazanych w art. 66 ust. 1 ustawy z dnia 6 marca 2018 r. – </w:t>
            </w:r>
            <w:r w:rsidRPr="0003605B">
              <w:rPr>
                <w:rFonts w:ascii="Times New Roman" w:hAnsi="Times New Roman"/>
                <w:i/>
                <w:color w:val="000000"/>
                <w:spacing w:val="-2"/>
              </w:rPr>
              <w:t>Prawo przedsiębiorców</w:t>
            </w:r>
            <w:r w:rsidRPr="0003605B">
              <w:rPr>
                <w:rFonts w:ascii="Times New Roman" w:hAnsi="Times New Roman"/>
                <w:color w:val="000000"/>
                <w:spacing w:val="-2"/>
              </w:rPr>
              <w:t xml:space="preserve"> (</w:t>
            </w:r>
            <w:r w:rsidR="004E5427" w:rsidRPr="0003605B">
              <w:rPr>
                <w:rFonts w:ascii="Times New Roman" w:hAnsi="Times New Roman"/>
                <w:color w:val="000000"/>
                <w:spacing w:val="-2"/>
              </w:rPr>
              <w:t xml:space="preserve">Dz.U. </w:t>
            </w:r>
            <w:r w:rsidR="00D92117" w:rsidRPr="0003605B">
              <w:rPr>
                <w:rFonts w:ascii="Times New Roman" w:hAnsi="Times New Roman"/>
                <w:color w:val="000000"/>
                <w:spacing w:val="-2"/>
              </w:rPr>
              <w:t xml:space="preserve">z 2021 r. </w:t>
            </w:r>
            <w:r w:rsidR="004E5427" w:rsidRPr="0003605B">
              <w:rPr>
                <w:rFonts w:ascii="Times New Roman" w:hAnsi="Times New Roman"/>
                <w:color w:val="000000"/>
                <w:spacing w:val="-2"/>
              </w:rPr>
              <w:t xml:space="preserve">poz. </w:t>
            </w:r>
            <w:r w:rsidR="00D92117" w:rsidRPr="0003605B">
              <w:rPr>
                <w:rFonts w:ascii="Times New Roman" w:hAnsi="Times New Roman"/>
                <w:color w:val="000000"/>
                <w:spacing w:val="-2"/>
              </w:rPr>
              <w:t>162).</w:t>
            </w:r>
          </w:p>
        </w:tc>
      </w:tr>
      <w:tr w:rsidR="005715B5" w:rsidRPr="0003605B" w14:paraId="50E2B8A8" w14:textId="77777777" w:rsidTr="009C3613">
        <w:trPr>
          <w:gridAfter w:val="2"/>
          <w:wAfter w:w="7237" w:type="dxa"/>
          <w:trHeight w:val="596"/>
        </w:trPr>
        <w:tc>
          <w:tcPr>
            <w:tcW w:w="1595" w:type="dxa"/>
            <w:vMerge/>
            <w:shd w:val="clear" w:color="auto" w:fill="FFFFFF"/>
          </w:tcPr>
          <w:p w14:paraId="48810E87" w14:textId="77777777" w:rsidR="005715B5" w:rsidRPr="0003605B" w:rsidRDefault="005715B5" w:rsidP="0003605B">
            <w:pPr>
              <w:spacing w:line="240" w:lineRule="auto"/>
              <w:rPr>
                <w:rFonts w:ascii="Times New Roman" w:hAnsi="Times New Roman"/>
                <w:color w:val="000000"/>
              </w:rPr>
            </w:pPr>
          </w:p>
        </w:tc>
        <w:tc>
          <w:tcPr>
            <w:tcW w:w="2293" w:type="dxa"/>
            <w:gridSpan w:val="7"/>
            <w:shd w:val="clear" w:color="auto" w:fill="FFFFFF"/>
          </w:tcPr>
          <w:p w14:paraId="1A173DD7" w14:textId="77777777" w:rsidR="005715B5" w:rsidRPr="0003605B" w:rsidRDefault="005715B5" w:rsidP="0003605B">
            <w:pPr>
              <w:tabs>
                <w:tab w:val="right" w:pos="1936"/>
              </w:tabs>
              <w:spacing w:line="240" w:lineRule="auto"/>
              <w:rPr>
                <w:rFonts w:ascii="Times New Roman" w:hAnsi="Times New Roman"/>
                <w:color w:val="000000"/>
              </w:rPr>
            </w:pPr>
            <w:r w:rsidRPr="0003605B">
              <w:rPr>
                <w:rFonts w:ascii="Times New Roman" w:hAnsi="Times New Roman"/>
              </w:rPr>
              <w:t>rodzina, obywatele, gospodarstwa domowe, osoby niepełnosprawne oraz osoby starsze</w:t>
            </w:r>
            <w:r w:rsidRPr="0003605B">
              <w:rPr>
                <w:rFonts w:ascii="Times New Roman" w:hAnsi="Times New Roman"/>
                <w:color w:val="000000"/>
              </w:rPr>
              <w:t xml:space="preserve"> </w:t>
            </w:r>
          </w:p>
        </w:tc>
        <w:tc>
          <w:tcPr>
            <w:tcW w:w="7050" w:type="dxa"/>
            <w:gridSpan w:val="21"/>
            <w:shd w:val="clear" w:color="auto" w:fill="FFFFFF"/>
            <w:vAlign w:val="center"/>
          </w:tcPr>
          <w:p w14:paraId="08AC310F" w14:textId="77DB8196" w:rsidR="00E83AE0" w:rsidRPr="0003605B" w:rsidRDefault="009C3613" w:rsidP="0003605B">
            <w:pPr>
              <w:spacing w:line="240" w:lineRule="auto"/>
              <w:jc w:val="both"/>
              <w:rPr>
                <w:rFonts w:ascii="Times New Roman" w:hAnsi="Times New Roman"/>
                <w:color w:val="000000"/>
                <w:spacing w:val="-2"/>
              </w:rPr>
            </w:pPr>
            <w:r w:rsidRPr="0003605B">
              <w:rPr>
                <w:rFonts w:ascii="Times New Roman" w:hAnsi="Times New Roman"/>
                <w:color w:val="000000"/>
                <w:spacing w:val="-2"/>
              </w:rPr>
              <w:t xml:space="preserve">Projektowane rozporządzenie określa zasady bezpiecznego przetwarzania </w:t>
            </w:r>
            <w:r w:rsidR="00D92117" w:rsidRPr="0003605B">
              <w:rPr>
                <w:rFonts w:ascii="Times New Roman" w:hAnsi="Times New Roman"/>
                <w:color w:val="000000"/>
                <w:spacing w:val="-2"/>
              </w:rPr>
              <w:br/>
            </w:r>
            <w:r w:rsidRPr="0003605B">
              <w:rPr>
                <w:rFonts w:ascii="Times New Roman" w:hAnsi="Times New Roman"/>
                <w:color w:val="000000"/>
                <w:spacing w:val="-2"/>
              </w:rPr>
              <w:t xml:space="preserve">i udostępniania danych osób w Krajowym Rejestrze Zadłużonych co przyczyni się do wzmocnienia bezpieczeństwa obrotu gospodarczego </w:t>
            </w:r>
          </w:p>
        </w:tc>
      </w:tr>
      <w:tr w:rsidR="005715B5" w:rsidRPr="0003605B" w14:paraId="1CF8BF90" w14:textId="77777777" w:rsidTr="009C3613">
        <w:trPr>
          <w:gridAfter w:val="2"/>
          <w:wAfter w:w="7237" w:type="dxa"/>
          <w:trHeight w:val="266"/>
        </w:trPr>
        <w:tc>
          <w:tcPr>
            <w:tcW w:w="2242" w:type="dxa"/>
            <w:gridSpan w:val="3"/>
            <w:shd w:val="clear" w:color="auto" w:fill="FFFFFF"/>
          </w:tcPr>
          <w:p w14:paraId="24D2E551"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 xml:space="preserve">Dodatkowe informacje, w tym wskazanie źródeł danych i przyjętych do obliczeń założeń </w:t>
            </w:r>
          </w:p>
        </w:tc>
        <w:tc>
          <w:tcPr>
            <w:tcW w:w="8696" w:type="dxa"/>
            <w:gridSpan w:val="26"/>
            <w:shd w:val="clear" w:color="auto" w:fill="FFFFFF"/>
            <w:vAlign w:val="center"/>
          </w:tcPr>
          <w:p w14:paraId="49B41790" w14:textId="3B0748C9" w:rsidR="005715B5" w:rsidRPr="0003605B" w:rsidRDefault="005715B5" w:rsidP="0003605B">
            <w:pPr>
              <w:spacing w:line="240" w:lineRule="auto"/>
              <w:jc w:val="both"/>
              <w:rPr>
                <w:rFonts w:ascii="Times New Roman" w:hAnsi="Times New Roman"/>
                <w:color w:val="000000"/>
              </w:rPr>
            </w:pPr>
            <w:r w:rsidRPr="0003605B">
              <w:rPr>
                <w:rFonts w:ascii="Times New Roman" w:hAnsi="Times New Roman"/>
                <w:color w:val="000000"/>
              </w:rPr>
              <w:t xml:space="preserve">Projektowane zmiany nie będą miały wpływu na konkurencyjność gospodarki </w:t>
            </w:r>
            <w:r w:rsidR="00D92117" w:rsidRPr="0003605B">
              <w:rPr>
                <w:rFonts w:ascii="Times New Roman" w:hAnsi="Times New Roman"/>
                <w:color w:val="000000"/>
              </w:rPr>
              <w:br/>
            </w:r>
            <w:r w:rsidRPr="0003605B">
              <w:rPr>
                <w:rFonts w:ascii="Times New Roman" w:hAnsi="Times New Roman"/>
                <w:color w:val="000000"/>
              </w:rPr>
              <w:t>i przedsiębiorczość, w tym funkcjonowanie przedsiębiorców</w:t>
            </w:r>
            <w:r w:rsidR="003A4BD3" w:rsidRPr="0003605B">
              <w:rPr>
                <w:rFonts w:ascii="Times New Roman" w:hAnsi="Times New Roman"/>
                <w:color w:val="000000"/>
              </w:rPr>
              <w:t>.</w:t>
            </w:r>
          </w:p>
        </w:tc>
      </w:tr>
      <w:tr w:rsidR="005715B5" w:rsidRPr="0003605B" w14:paraId="7590557D" w14:textId="77777777" w:rsidTr="009C3613">
        <w:trPr>
          <w:gridAfter w:val="2"/>
          <w:wAfter w:w="7237" w:type="dxa"/>
          <w:trHeight w:val="342"/>
        </w:trPr>
        <w:tc>
          <w:tcPr>
            <w:tcW w:w="10938" w:type="dxa"/>
            <w:gridSpan w:val="29"/>
            <w:shd w:val="clear" w:color="auto" w:fill="99CCFF"/>
            <w:vAlign w:val="center"/>
          </w:tcPr>
          <w:p w14:paraId="0DD9BF66" w14:textId="77777777" w:rsidR="005715B5" w:rsidRPr="0003605B" w:rsidRDefault="005715B5" w:rsidP="0003605B">
            <w:pPr>
              <w:numPr>
                <w:ilvl w:val="0"/>
                <w:numId w:val="1"/>
              </w:numPr>
              <w:spacing w:before="60" w:after="60" w:line="240" w:lineRule="auto"/>
              <w:ind w:left="318" w:hanging="284"/>
              <w:jc w:val="both"/>
              <w:rPr>
                <w:rFonts w:ascii="Times New Roman" w:hAnsi="Times New Roman"/>
                <w:b/>
                <w:color w:val="000000"/>
              </w:rPr>
            </w:pPr>
            <w:r w:rsidRPr="0003605B">
              <w:rPr>
                <w:rFonts w:ascii="Times New Roman" w:hAnsi="Times New Roman"/>
                <w:b/>
                <w:color w:val="000000"/>
              </w:rPr>
              <w:t xml:space="preserve"> Zmiana obciążeń regulacyjnych (w tym obowiązków informacyjnych) wynikających z projektu</w:t>
            </w:r>
          </w:p>
        </w:tc>
      </w:tr>
      <w:tr w:rsidR="005715B5" w:rsidRPr="0003605B" w14:paraId="7053894E" w14:textId="77777777" w:rsidTr="009C3613">
        <w:trPr>
          <w:gridAfter w:val="2"/>
          <w:wAfter w:w="7237" w:type="dxa"/>
          <w:trHeight w:val="151"/>
        </w:trPr>
        <w:tc>
          <w:tcPr>
            <w:tcW w:w="10938" w:type="dxa"/>
            <w:gridSpan w:val="29"/>
            <w:shd w:val="clear" w:color="auto" w:fill="FFFFFF"/>
          </w:tcPr>
          <w:p w14:paraId="3D2C8769"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fldChar w:fldCharType="begin">
                <w:ffData>
                  <w:name w:val=""/>
                  <w:enabled/>
                  <w:calcOnExit w:val="0"/>
                  <w:checkBox>
                    <w:sizeAuto/>
                    <w:default w:val="1"/>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w:t>
            </w:r>
            <w:r w:rsidRPr="0003605B">
              <w:rPr>
                <w:rFonts w:ascii="Times New Roman" w:hAnsi="Times New Roman"/>
                <w:color w:val="000000"/>
                <w:spacing w:val="-2"/>
              </w:rPr>
              <w:t>nie dotyczy</w:t>
            </w:r>
          </w:p>
        </w:tc>
      </w:tr>
      <w:tr w:rsidR="005715B5" w:rsidRPr="0003605B" w14:paraId="54A71845" w14:textId="77777777" w:rsidTr="009C3613">
        <w:trPr>
          <w:gridAfter w:val="2"/>
          <w:wAfter w:w="7237" w:type="dxa"/>
          <w:trHeight w:val="946"/>
        </w:trPr>
        <w:tc>
          <w:tcPr>
            <w:tcW w:w="5110" w:type="dxa"/>
            <w:gridSpan w:val="12"/>
            <w:shd w:val="clear" w:color="auto" w:fill="FFFFFF"/>
          </w:tcPr>
          <w:p w14:paraId="4FC75E16" w14:textId="77777777" w:rsidR="005715B5" w:rsidRPr="0003605B" w:rsidRDefault="005715B5" w:rsidP="0003605B">
            <w:pPr>
              <w:spacing w:line="240" w:lineRule="auto"/>
              <w:rPr>
                <w:rFonts w:ascii="Times New Roman" w:hAnsi="Times New Roman"/>
                <w:color w:val="000000"/>
                <w:spacing w:val="-2"/>
              </w:rPr>
            </w:pPr>
            <w:r w:rsidRPr="0003605B">
              <w:rPr>
                <w:rFonts w:ascii="Times New Roman" w:hAnsi="Times New Roman"/>
                <w:color w:val="000000"/>
                <w:spacing w:val="-2"/>
              </w:rPr>
              <w:lastRenderedPageBreak/>
              <w:t xml:space="preserve">Wprowadzane są obciążenia poza bezwzględnie wymaganymi przez UE </w:t>
            </w:r>
            <w:r w:rsidRPr="0003605B">
              <w:rPr>
                <w:rFonts w:ascii="Times New Roman" w:hAnsi="Times New Roman"/>
                <w:color w:val="000000"/>
              </w:rPr>
              <w:t>(szczegóły w odwróconej tabeli zgodności).</w:t>
            </w:r>
          </w:p>
        </w:tc>
        <w:tc>
          <w:tcPr>
            <w:tcW w:w="5828" w:type="dxa"/>
            <w:gridSpan w:val="17"/>
            <w:shd w:val="clear" w:color="auto" w:fill="FFFFFF"/>
          </w:tcPr>
          <w:p w14:paraId="2E71496F"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fldChar w:fldCharType="begin">
                <w:ffData>
                  <w:name w:val="Wybór1"/>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tak</w:t>
            </w:r>
          </w:p>
          <w:p w14:paraId="4B1B0030"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fldChar w:fldCharType="begin">
                <w:ffData>
                  <w:name w:val=""/>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nie</w:t>
            </w:r>
          </w:p>
          <w:p w14:paraId="65E31B9C"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fldChar w:fldCharType="begin">
                <w:ffData>
                  <w:name w:val=""/>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nie dotyczy</w:t>
            </w:r>
          </w:p>
        </w:tc>
      </w:tr>
      <w:tr w:rsidR="005715B5" w:rsidRPr="0003605B" w14:paraId="77F50A51" w14:textId="77777777" w:rsidTr="009C3613">
        <w:trPr>
          <w:gridAfter w:val="2"/>
          <w:wAfter w:w="7237" w:type="dxa"/>
          <w:trHeight w:val="1167"/>
        </w:trPr>
        <w:tc>
          <w:tcPr>
            <w:tcW w:w="5110" w:type="dxa"/>
            <w:gridSpan w:val="12"/>
            <w:shd w:val="clear" w:color="auto" w:fill="FFFFFF"/>
          </w:tcPr>
          <w:p w14:paraId="295AFEC9" w14:textId="77777777" w:rsidR="005715B5" w:rsidRPr="0003605B" w:rsidRDefault="005715B5" w:rsidP="0003605B">
            <w:pPr>
              <w:spacing w:line="240" w:lineRule="auto"/>
              <w:rPr>
                <w:rFonts w:ascii="Times New Roman" w:hAnsi="Times New Roman"/>
                <w:color w:val="000000"/>
                <w:spacing w:val="-2"/>
              </w:rPr>
            </w:pPr>
            <w:r w:rsidRPr="0003605B">
              <w:rPr>
                <w:rFonts w:ascii="Times New Roman" w:hAnsi="Times New Roman"/>
                <w:color w:val="000000"/>
              </w:rPr>
              <w:fldChar w:fldCharType="begin">
                <w:ffData>
                  <w:name w:val="Wybór1"/>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w:t>
            </w:r>
            <w:r w:rsidRPr="0003605B">
              <w:rPr>
                <w:rFonts w:ascii="Times New Roman" w:hAnsi="Times New Roman"/>
                <w:color w:val="000000"/>
                <w:spacing w:val="-2"/>
              </w:rPr>
              <w:t xml:space="preserve">zmniejszenie liczby dokumentów </w:t>
            </w:r>
          </w:p>
          <w:p w14:paraId="22ED3831" w14:textId="77777777" w:rsidR="005715B5" w:rsidRPr="0003605B" w:rsidRDefault="005715B5" w:rsidP="0003605B">
            <w:pPr>
              <w:spacing w:line="240" w:lineRule="auto"/>
              <w:rPr>
                <w:rFonts w:ascii="Times New Roman" w:hAnsi="Times New Roman"/>
                <w:color w:val="000000"/>
                <w:spacing w:val="-2"/>
              </w:rPr>
            </w:pPr>
            <w:r w:rsidRPr="0003605B">
              <w:rPr>
                <w:rFonts w:ascii="Times New Roman" w:hAnsi="Times New Roman"/>
                <w:color w:val="000000"/>
              </w:rPr>
              <w:fldChar w:fldCharType="begin">
                <w:ffData>
                  <w:name w:val="Wybór1"/>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w:t>
            </w:r>
            <w:r w:rsidRPr="0003605B">
              <w:rPr>
                <w:rFonts w:ascii="Times New Roman" w:hAnsi="Times New Roman"/>
                <w:color w:val="000000"/>
                <w:spacing w:val="-2"/>
              </w:rPr>
              <w:t>zmniejszenie liczby procedur</w:t>
            </w:r>
          </w:p>
          <w:p w14:paraId="01917B1C" w14:textId="77777777" w:rsidR="005715B5" w:rsidRPr="0003605B" w:rsidRDefault="005715B5" w:rsidP="0003605B">
            <w:pPr>
              <w:spacing w:line="240" w:lineRule="auto"/>
              <w:rPr>
                <w:rFonts w:ascii="Times New Roman" w:hAnsi="Times New Roman"/>
                <w:color w:val="000000"/>
                <w:spacing w:val="-2"/>
              </w:rPr>
            </w:pPr>
            <w:r w:rsidRPr="0003605B">
              <w:rPr>
                <w:rFonts w:ascii="Times New Roman" w:hAnsi="Times New Roman"/>
                <w:color w:val="000000"/>
              </w:rPr>
              <w:fldChar w:fldCharType="begin">
                <w:ffData>
                  <w:name w:val=""/>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w:t>
            </w:r>
            <w:r w:rsidRPr="0003605B">
              <w:rPr>
                <w:rFonts w:ascii="Times New Roman" w:hAnsi="Times New Roman"/>
                <w:color w:val="000000"/>
                <w:spacing w:val="-2"/>
              </w:rPr>
              <w:t>skrócenie czasu na załatwienie sprawy</w:t>
            </w:r>
          </w:p>
          <w:p w14:paraId="452C8357" w14:textId="77777777" w:rsidR="005715B5" w:rsidRPr="0003605B" w:rsidRDefault="005715B5" w:rsidP="0003605B">
            <w:pPr>
              <w:spacing w:line="240" w:lineRule="auto"/>
              <w:rPr>
                <w:rFonts w:ascii="Times New Roman" w:hAnsi="Times New Roman"/>
                <w:b/>
                <w:color w:val="000000"/>
                <w:spacing w:val="-2"/>
              </w:rPr>
            </w:pPr>
            <w:r w:rsidRPr="0003605B">
              <w:rPr>
                <w:rFonts w:ascii="Times New Roman" w:hAnsi="Times New Roman"/>
                <w:color w:val="000000"/>
              </w:rPr>
              <w:fldChar w:fldCharType="begin">
                <w:ffData>
                  <w:name w:val="Wybór1"/>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w:t>
            </w:r>
            <w:r w:rsidRPr="0003605B">
              <w:rPr>
                <w:rFonts w:ascii="Times New Roman" w:hAnsi="Times New Roman"/>
                <w:color w:val="000000"/>
                <w:spacing w:val="-2"/>
              </w:rPr>
              <w:t>inne:</w:t>
            </w:r>
            <w:r w:rsidRPr="0003605B">
              <w:rPr>
                <w:rFonts w:ascii="Times New Roman" w:hAnsi="Times New Roman"/>
                <w:color w:val="000000"/>
              </w:rPr>
              <w:t xml:space="preserve"> </w:t>
            </w:r>
            <w:r w:rsidRPr="0003605B">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03605B">
              <w:rPr>
                <w:rFonts w:ascii="Times New Roman" w:hAnsi="Times New Roman"/>
                <w:color w:val="000000"/>
              </w:rPr>
              <w:instrText xml:space="preserve"> FORMTEXT </w:instrText>
            </w:r>
            <w:r w:rsidRPr="0003605B">
              <w:rPr>
                <w:rFonts w:ascii="Times New Roman" w:hAnsi="Times New Roman"/>
                <w:color w:val="000000"/>
              </w:rPr>
            </w:r>
            <w:r w:rsidRPr="0003605B">
              <w:rPr>
                <w:rFonts w:ascii="Times New Roman" w:hAnsi="Times New Roman"/>
                <w:color w:val="000000"/>
              </w:rPr>
              <w:fldChar w:fldCharType="separate"/>
            </w:r>
            <w:r w:rsidRPr="0003605B">
              <w:rPr>
                <w:rFonts w:ascii="Times New Roman" w:hAnsi="Times New Roman"/>
                <w:noProof/>
                <w:color w:val="000000"/>
              </w:rPr>
              <w:t> </w:t>
            </w:r>
            <w:r w:rsidRPr="0003605B">
              <w:rPr>
                <w:rFonts w:ascii="Times New Roman" w:hAnsi="Times New Roman"/>
                <w:noProof/>
                <w:color w:val="000000"/>
              </w:rPr>
              <w:t> </w:t>
            </w:r>
            <w:r w:rsidRPr="0003605B">
              <w:rPr>
                <w:rFonts w:ascii="Times New Roman" w:hAnsi="Times New Roman"/>
                <w:noProof/>
                <w:color w:val="000000"/>
              </w:rPr>
              <w:t> </w:t>
            </w:r>
            <w:r w:rsidRPr="0003605B">
              <w:rPr>
                <w:rFonts w:ascii="Times New Roman" w:hAnsi="Times New Roman"/>
                <w:noProof/>
                <w:color w:val="000000"/>
              </w:rPr>
              <w:t> </w:t>
            </w:r>
            <w:r w:rsidRPr="0003605B">
              <w:rPr>
                <w:rFonts w:ascii="Times New Roman" w:hAnsi="Times New Roman"/>
                <w:noProof/>
                <w:color w:val="000000"/>
              </w:rPr>
              <w:t> </w:t>
            </w:r>
            <w:r w:rsidRPr="0003605B">
              <w:rPr>
                <w:rFonts w:ascii="Times New Roman" w:hAnsi="Times New Roman"/>
                <w:color w:val="000000"/>
              </w:rPr>
              <w:fldChar w:fldCharType="end"/>
            </w:r>
          </w:p>
        </w:tc>
        <w:tc>
          <w:tcPr>
            <w:tcW w:w="5828" w:type="dxa"/>
            <w:gridSpan w:val="17"/>
            <w:shd w:val="clear" w:color="auto" w:fill="FFFFFF"/>
          </w:tcPr>
          <w:p w14:paraId="57B773DA" w14:textId="77777777" w:rsidR="005715B5" w:rsidRPr="0003605B" w:rsidRDefault="005715B5" w:rsidP="0003605B">
            <w:pPr>
              <w:spacing w:line="240" w:lineRule="auto"/>
              <w:rPr>
                <w:rFonts w:ascii="Times New Roman" w:hAnsi="Times New Roman"/>
                <w:color w:val="000000"/>
                <w:spacing w:val="-2"/>
              </w:rPr>
            </w:pPr>
            <w:r w:rsidRPr="0003605B">
              <w:rPr>
                <w:rFonts w:ascii="Times New Roman" w:hAnsi="Times New Roman"/>
                <w:color w:val="000000"/>
              </w:rPr>
              <w:fldChar w:fldCharType="begin">
                <w:ffData>
                  <w:name w:val=""/>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w:t>
            </w:r>
            <w:r w:rsidRPr="0003605B">
              <w:rPr>
                <w:rFonts w:ascii="Times New Roman" w:hAnsi="Times New Roman"/>
                <w:color w:val="000000"/>
                <w:spacing w:val="-2"/>
              </w:rPr>
              <w:t>zwiększenie liczby dokumentów</w:t>
            </w:r>
          </w:p>
          <w:p w14:paraId="33E44FEF" w14:textId="77777777" w:rsidR="005715B5" w:rsidRPr="0003605B" w:rsidRDefault="005715B5" w:rsidP="0003605B">
            <w:pPr>
              <w:spacing w:line="240" w:lineRule="auto"/>
              <w:rPr>
                <w:rFonts w:ascii="Times New Roman" w:hAnsi="Times New Roman"/>
                <w:color w:val="000000"/>
                <w:spacing w:val="-2"/>
              </w:rPr>
            </w:pPr>
            <w:r w:rsidRPr="0003605B">
              <w:rPr>
                <w:rFonts w:ascii="Times New Roman" w:hAnsi="Times New Roman"/>
                <w:color w:val="000000"/>
              </w:rPr>
              <w:fldChar w:fldCharType="begin">
                <w:ffData>
                  <w:name w:val=""/>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w:t>
            </w:r>
            <w:r w:rsidRPr="0003605B">
              <w:rPr>
                <w:rFonts w:ascii="Times New Roman" w:hAnsi="Times New Roman"/>
                <w:color w:val="000000"/>
                <w:spacing w:val="-2"/>
              </w:rPr>
              <w:t>zwiększenie liczby procedur</w:t>
            </w:r>
          </w:p>
          <w:p w14:paraId="58DB4037" w14:textId="77777777" w:rsidR="005715B5" w:rsidRPr="0003605B" w:rsidRDefault="005715B5" w:rsidP="0003605B">
            <w:pPr>
              <w:spacing w:line="240" w:lineRule="auto"/>
              <w:rPr>
                <w:rFonts w:ascii="Times New Roman" w:hAnsi="Times New Roman"/>
                <w:color w:val="000000"/>
                <w:spacing w:val="-2"/>
              </w:rPr>
            </w:pPr>
            <w:r w:rsidRPr="0003605B">
              <w:rPr>
                <w:rFonts w:ascii="Times New Roman" w:hAnsi="Times New Roman"/>
                <w:color w:val="000000"/>
              </w:rPr>
              <w:fldChar w:fldCharType="begin">
                <w:ffData>
                  <w:name w:val="Wybór1"/>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w:t>
            </w:r>
            <w:r w:rsidRPr="0003605B">
              <w:rPr>
                <w:rFonts w:ascii="Times New Roman" w:hAnsi="Times New Roman"/>
                <w:color w:val="000000"/>
                <w:spacing w:val="-2"/>
              </w:rPr>
              <w:t>wydłużenie czasu na załatwienie sprawy</w:t>
            </w:r>
          </w:p>
          <w:p w14:paraId="6E3B6741"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fldChar w:fldCharType="begin">
                <w:ffData>
                  <w:name w:val="Wybór1"/>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w:t>
            </w:r>
            <w:r w:rsidRPr="0003605B">
              <w:rPr>
                <w:rFonts w:ascii="Times New Roman" w:hAnsi="Times New Roman"/>
                <w:color w:val="000000"/>
                <w:spacing w:val="-2"/>
              </w:rPr>
              <w:t>inne:</w:t>
            </w:r>
            <w:r w:rsidRPr="0003605B">
              <w:rPr>
                <w:rFonts w:ascii="Times New Roman" w:hAnsi="Times New Roman"/>
                <w:color w:val="000000"/>
              </w:rPr>
              <w:t xml:space="preserve"> </w:t>
            </w:r>
            <w:r w:rsidRPr="0003605B">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03605B">
              <w:rPr>
                <w:rFonts w:ascii="Times New Roman" w:hAnsi="Times New Roman"/>
                <w:color w:val="000000"/>
              </w:rPr>
              <w:instrText xml:space="preserve"> FORMTEXT </w:instrText>
            </w:r>
            <w:r w:rsidRPr="0003605B">
              <w:rPr>
                <w:rFonts w:ascii="Times New Roman" w:hAnsi="Times New Roman"/>
                <w:color w:val="000000"/>
              </w:rPr>
            </w:r>
            <w:r w:rsidRPr="0003605B">
              <w:rPr>
                <w:rFonts w:ascii="Times New Roman" w:hAnsi="Times New Roman"/>
                <w:color w:val="000000"/>
              </w:rPr>
              <w:fldChar w:fldCharType="separate"/>
            </w:r>
            <w:r w:rsidRPr="0003605B">
              <w:rPr>
                <w:rFonts w:ascii="Times New Roman" w:hAnsi="Times New Roman"/>
                <w:noProof/>
                <w:color w:val="000000"/>
              </w:rPr>
              <w:t> </w:t>
            </w:r>
            <w:r w:rsidRPr="0003605B">
              <w:rPr>
                <w:rFonts w:ascii="Times New Roman" w:hAnsi="Times New Roman"/>
                <w:noProof/>
                <w:color w:val="000000"/>
              </w:rPr>
              <w:t> </w:t>
            </w:r>
            <w:r w:rsidRPr="0003605B">
              <w:rPr>
                <w:rFonts w:ascii="Times New Roman" w:hAnsi="Times New Roman"/>
                <w:noProof/>
                <w:color w:val="000000"/>
              </w:rPr>
              <w:t> </w:t>
            </w:r>
            <w:r w:rsidRPr="0003605B">
              <w:rPr>
                <w:rFonts w:ascii="Times New Roman" w:hAnsi="Times New Roman"/>
                <w:noProof/>
                <w:color w:val="000000"/>
              </w:rPr>
              <w:t> </w:t>
            </w:r>
            <w:r w:rsidRPr="0003605B">
              <w:rPr>
                <w:rFonts w:ascii="Times New Roman" w:hAnsi="Times New Roman"/>
                <w:noProof/>
                <w:color w:val="000000"/>
              </w:rPr>
              <w:t> </w:t>
            </w:r>
            <w:r w:rsidRPr="0003605B">
              <w:rPr>
                <w:rFonts w:ascii="Times New Roman" w:hAnsi="Times New Roman"/>
                <w:color w:val="000000"/>
              </w:rPr>
              <w:fldChar w:fldCharType="end"/>
            </w:r>
          </w:p>
        </w:tc>
      </w:tr>
      <w:tr w:rsidR="005715B5" w:rsidRPr="0003605B" w14:paraId="2D262D2A" w14:textId="77777777" w:rsidTr="009C3613">
        <w:trPr>
          <w:gridAfter w:val="2"/>
          <w:wAfter w:w="7237" w:type="dxa"/>
          <w:trHeight w:val="870"/>
        </w:trPr>
        <w:tc>
          <w:tcPr>
            <w:tcW w:w="5110" w:type="dxa"/>
            <w:gridSpan w:val="12"/>
            <w:shd w:val="clear" w:color="auto" w:fill="FFFFFF"/>
          </w:tcPr>
          <w:p w14:paraId="0E99C03D"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spacing w:val="-2"/>
              </w:rPr>
              <w:t xml:space="preserve">Wprowadzane obciążenia są przystosowane do ich elektronizacji. </w:t>
            </w:r>
          </w:p>
        </w:tc>
        <w:tc>
          <w:tcPr>
            <w:tcW w:w="5828" w:type="dxa"/>
            <w:gridSpan w:val="17"/>
            <w:shd w:val="clear" w:color="auto" w:fill="FFFFFF"/>
          </w:tcPr>
          <w:p w14:paraId="3B708C8C"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fldChar w:fldCharType="begin">
                <w:ffData>
                  <w:name w:val=""/>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tak</w:t>
            </w:r>
          </w:p>
          <w:p w14:paraId="67CCAD06"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fldChar w:fldCharType="begin">
                <w:ffData>
                  <w:name w:val="Wybór1"/>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nie</w:t>
            </w:r>
          </w:p>
          <w:p w14:paraId="2D122BC7" w14:textId="5E982C5A"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fldChar w:fldCharType="begin">
                <w:ffData>
                  <w:name w:val=""/>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nie dotyczy</w:t>
            </w:r>
          </w:p>
        </w:tc>
      </w:tr>
      <w:tr w:rsidR="005715B5" w:rsidRPr="0003605B" w14:paraId="5C4FF0E8" w14:textId="77777777" w:rsidTr="00D80B7E">
        <w:trPr>
          <w:gridAfter w:val="2"/>
          <w:wAfter w:w="7237" w:type="dxa"/>
          <w:trHeight w:val="379"/>
        </w:trPr>
        <w:tc>
          <w:tcPr>
            <w:tcW w:w="10938" w:type="dxa"/>
            <w:gridSpan w:val="29"/>
            <w:shd w:val="clear" w:color="auto" w:fill="FFFFFF"/>
          </w:tcPr>
          <w:p w14:paraId="2EC1CFDC" w14:textId="505340AC" w:rsidR="005715B5" w:rsidRPr="00D80B7E" w:rsidRDefault="005715B5" w:rsidP="0003605B">
            <w:pPr>
              <w:spacing w:line="240" w:lineRule="auto"/>
              <w:jc w:val="both"/>
              <w:rPr>
                <w:rFonts w:ascii="Times New Roman" w:hAnsi="Times New Roman"/>
                <w:color w:val="000000"/>
              </w:rPr>
            </w:pPr>
            <w:r w:rsidRPr="00D80B7E">
              <w:rPr>
                <w:rFonts w:ascii="Times New Roman" w:hAnsi="Times New Roman"/>
                <w:color w:val="000000"/>
              </w:rPr>
              <w:t xml:space="preserve">Komentarz: </w:t>
            </w:r>
          </w:p>
        </w:tc>
      </w:tr>
      <w:tr w:rsidR="005715B5" w:rsidRPr="0003605B" w14:paraId="1BED8B20" w14:textId="77777777" w:rsidTr="009C3613">
        <w:trPr>
          <w:gridAfter w:val="2"/>
          <w:wAfter w:w="7237" w:type="dxa"/>
          <w:trHeight w:val="142"/>
        </w:trPr>
        <w:tc>
          <w:tcPr>
            <w:tcW w:w="10938" w:type="dxa"/>
            <w:gridSpan w:val="29"/>
            <w:shd w:val="clear" w:color="auto" w:fill="99CCFF"/>
          </w:tcPr>
          <w:p w14:paraId="01D9CF2C" w14:textId="77777777" w:rsidR="005715B5" w:rsidRPr="0003605B" w:rsidRDefault="005715B5" w:rsidP="0003605B">
            <w:pPr>
              <w:numPr>
                <w:ilvl w:val="0"/>
                <w:numId w:val="1"/>
              </w:numPr>
              <w:spacing w:before="60" w:after="60" w:line="240" w:lineRule="auto"/>
              <w:jc w:val="both"/>
              <w:rPr>
                <w:rFonts w:ascii="Times New Roman" w:hAnsi="Times New Roman"/>
                <w:b/>
                <w:color w:val="000000"/>
              </w:rPr>
            </w:pPr>
            <w:r w:rsidRPr="0003605B">
              <w:rPr>
                <w:rFonts w:ascii="Times New Roman" w:hAnsi="Times New Roman"/>
                <w:b/>
                <w:color w:val="000000"/>
              </w:rPr>
              <w:t xml:space="preserve">Wpływ na rynek pracy </w:t>
            </w:r>
          </w:p>
        </w:tc>
      </w:tr>
      <w:tr w:rsidR="005715B5" w:rsidRPr="0003605B" w14:paraId="0E2FF40D" w14:textId="77777777" w:rsidTr="009C3613">
        <w:trPr>
          <w:gridAfter w:val="2"/>
          <w:wAfter w:w="7237" w:type="dxa"/>
          <w:trHeight w:val="142"/>
        </w:trPr>
        <w:tc>
          <w:tcPr>
            <w:tcW w:w="10938" w:type="dxa"/>
            <w:gridSpan w:val="29"/>
            <w:shd w:val="clear" w:color="auto" w:fill="auto"/>
          </w:tcPr>
          <w:p w14:paraId="02FF10B0" w14:textId="77777777" w:rsidR="005715B5" w:rsidRPr="0003605B" w:rsidRDefault="005715B5" w:rsidP="0003605B">
            <w:pPr>
              <w:spacing w:line="240" w:lineRule="auto"/>
              <w:jc w:val="both"/>
              <w:rPr>
                <w:rFonts w:ascii="Times New Roman" w:hAnsi="Times New Roman"/>
                <w:color w:val="000000"/>
              </w:rPr>
            </w:pPr>
            <w:r w:rsidRPr="0003605B">
              <w:rPr>
                <w:rFonts w:ascii="Times New Roman" w:hAnsi="Times New Roman"/>
                <w:color w:val="000000"/>
              </w:rPr>
              <w:t>Projektowane zmiany nie będą miały wpływu na rynek pracy.</w:t>
            </w:r>
          </w:p>
        </w:tc>
      </w:tr>
      <w:tr w:rsidR="005715B5" w:rsidRPr="0003605B" w14:paraId="337947D5" w14:textId="77777777" w:rsidTr="009C3613">
        <w:trPr>
          <w:gridAfter w:val="2"/>
          <w:wAfter w:w="7237" w:type="dxa"/>
          <w:trHeight w:val="142"/>
        </w:trPr>
        <w:tc>
          <w:tcPr>
            <w:tcW w:w="10938" w:type="dxa"/>
            <w:gridSpan w:val="29"/>
            <w:shd w:val="clear" w:color="auto" w:fill="99CCFF"/>
          </w:tcPr>
          <w:p w14:paraId="60B24E78" w14:textId="77777777" w:rsidR="005715B5" w:rsidRPr="0003605B" w:rsidRDefault="005715B5" w:rsidP="0003605B">
            <w:pPr>
              <w:numPr>
                <w:ilvl w:val="0"/>
                <w:numId w:val="1"/>
              </w:numPr>
              <w:spacing w:before="60" w:after="60" w:line="240" w:lineRule="auto"/>
              <w:jc w:val="both"/>
              <w:rPr>
                <w:rFonts w:ascii="Times New Roman" w:hAnsi="Times New Roman"/>
                <w:b/>
                <w:color w:val="000000"/>
              </w:rPr>
            </w:pPr>
            <w:r w:rsidRPr="0003605B">
              <w:rPr>
                <w:rFonts w:ascii="Times New Roman" w:hAnsi="Times New Roman"/>
                <w:b/>
                <w:color w:val="000000"/>
              </w:rPr>
              <w:t>Wpływ na pozostałe obszary</w:t>
            </w:r>
          </w:p>
        </w:tc>
      </w:tr>
      <w:tr w:rsidR="005715B5" w:rsidRPr="0003605B" w14:paraId="44B48AA4" w14:textId="77777777" w:rsidTr="009C3613">
        <w:trPr>
          <w:gridAfter w:val="2"/>
          <w:wAfter w:w="7237" w:type="dxa"/>
          <w:trHeight w:val="1031"/>
        </w:trPr>
        <w:tc>
          <w:tcPr>
            <w:tcW w:w="3546" w:type="dxa"/>
            <w:gridSpan w:val="5"/>
            <w:shd w:val="clear" w:color="auto" w:fill="FFFFFF"/>
          </w:tcPr>
          <w:p w14:paraId="4EC581FB" w14:textId="77777777" w:rsidR="005715B5" w:rsidRPr="0003605B" w:rsidRDefault="005715B5" w:rsidP="0003605B">
            <w:pPr>
              <w:spacing w:line="240" w:lineRule="auto"/>
              <w:rPr>
                <w:rFonts w:ascii="Times New Roman" w:hAnsi="Times New Roman"/>
                <w:color w:val="000000"/>
              </w:rPr>
            </w:pPr>
          </w:p>
          <w:p w14:paraId="0A185E97" w14:textId="77777777" w:rsidR="005715B5" w:rsidRPr="0003605B" w:rsidRDefault="005715B5" w:rsidP="0003605B">
            <w:pPr>
              <w:spacing w:line="240" w:lineRule="auto"/>
              <w:rPr>
                <w:rFonts w:ascii="Times New Roman" w:hAnsi="Times New Roman"/>
                <w:color w:val="000000"/>
                <w:spacing w:val="-2"/>
              </w:rPr>
            </w:pPr>
            <w:r w:rsidRPr="0003605B">
              <w:rPr>
                <w:rFonts w:ascii="Times New Roman" w:hAnsi="Times New Roman"/>
                <w:color w:val="000000"/>
              </w:rPr>
              <w:fldChar w:fldCharType="begin">
                <w:ffData>
                  <w:name w:val="Wybór1"/>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w:t>
            </w:r>
            <w:r w:rsidRPr="0003605B">
              <w:rPr>
                <w:rFonts w:ascii="Times New Roman" w:hAnsi="Times New Roman"/>
                <w:color w:val="000000"/>
                <w:spacing w:val="-2"/>
              </w:rPr>
              <w:t>środowisko naturalne</w:t>
            </w:r>
          </w:p>
          <w:p w14:paraId="63F1899D"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fldChar w:fldCharType="begin">
                <w:ffData>
                  <w:name w:val=""/>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sytuacja i rozwój regionalny</w:t>
            </w:r>
          </w:p>
          <w:p w14:paraId="4439462B" w14:textId="77777777" w:rsidR="005715B5" w:rsidRPr="0003605B" w:rsidRDefault="005715B5" w:rsidP="0003605B">
            <w:pPr>
              <w:spacing w:line="240" w:lineRule="auto"/>
              <w:rPr>
                <w:rFonts w:ascii="Times New Roman" w:hAnsi="Times New Roman"/>
                <w:color w:val="000000"/>
                <w:spacing w:val="-2"/>
              </w:rPr>
            </w:pPr>
            <w:r w:rsidRPr="0003605B">
              <w:rPr>
                <w:rFonts w:ascii="Times New Roman" w:hAnsi="Times New Roman"/>
                <w:color w:val="000000"/>
              </w:rPr>
              <w:fldChar w:fldCharType="begin">
                <w:ffData>
                  <w:name w:val="Wybór1"/>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w:t>
            </w:r>
            <w:r w:rsidRPr="0003605B">
              <w:rPr>
                <w:rFonts w:ascii="Times New Roman" w:hAnsi="Times New Roman"/>
                <w:color w:val="000000"/>
                <w:spacing w:val="-2"/>
              </w:rPr>
              <w:t xml:space="preserve">inne: </w:t>
            </w:r>
            <w:r w:rsidRPr="0003605B">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03605B">
              <w:rPr>
                <w:rFonts w:ascii="Times New Roman" w:hAnsi="Times New Roman"/>
                <w:color w:val="000000"/>
              </w:rPr>
              <w:instrText xml:space="preserve"> FORMTEXT </w:instrText>
            </w:r>
            <w:r w:rsidRPr="0003605B">
              <w:rPr>
                <w:rFonts w:ascii="Times New Roman" w:hAnsi="Times New Roman"/>
                <w:color w:val="000000"/>
              </w:rPr>
            </w:r>
            <w:r w:rsidRPr="0003605B">
              <w:rPr>
                <w:rFonts w:ascii="Times New Roman" w:hAnsi="Times New Roman"/>
                <w:color w:val="000000"/>
              </w:rPr>
              <w:fldChar w:fldCharType="separate"/>
            </w:r>
            <w:r w:rsidRPr="0003605B">
              <w:rPr>
                <w:rFonts w:ascii="Times New Roman" w:hAnsi="Times New Roman"/>
                <w:noProof/>
                <w:color w:val="000000"/>
              </w:rPr>
              <w:t> </w:t>
            </w:r>
            <w:r w:rsidRPr="0003605B">
              <w:rPr>
                <w:rFonts w:ascii="Times New Roman" w:hAnsi="Times New Roman"/>
                <w:noProof/>
                <w:color w:val="000000"/>
              </w:rPr>
              <w:t> </w:t>
            </w:r>
            <w:r w:rsidRPr="0003605B">
              <w:rPr>
                <w:rFonts w:ascii="Times New Roman" w:hAnsi="Times New Roman"/>
                <w:noProof/>
                <w:color w:val="000000"/>
              </w:rPr>
              <w:t> </w:t>
            </w:r>
            <w:r w:rsidRPr="0003605B">
              <w:rPr>
                <w:rFonts w:ascii="Times New Roman" w:hAnsi="Times New Roman"/>
                <w:noProof/>
                <w:color w:val="000000"/>
              </w:rPr>
              <w:t> </w:t>
            </w:r>
            <w:r w:rsidRPr="0003605B">
              <w:rPr>
                <w:rFonts w:ascii="Times New Roman" w:hAnsi="Times New Roman"/>
                <w:noProof/>
                <w:color w:val="000000"/>
              </w:rPr>
              <w:t> </w:t>
            </w:r>
            <w:r w:rsidRPr="0003605B">
              <w:rPr>
                <w:rFonts w:ascii="Times New Roman" w:hAnsi="Times New Roman"/>
                <w:color w:val="000000"/>
              </w:rPr>
              <w:fldChar w:fldCharType="end"/>
            </w:r>
          </w:p>
        </w:tc>
        <w:tc>
          <w:tcPr>
            <w:tcW w:w="3687" w:type="dxa"/>
            <w:gridSpan w:val="16"/>
            <w:shd w:val="clear" w:color="auto" w:fill="FFFFFF"/>
          </w:tcPr>
          <w:p w14:paraId="6445BC4E" w14:textId="77777777" w:rsidR="005715B5" w:rsidRPr="0003605B" w:rsidRDefault="005715B5" w:rsidP="0003605B">
            <w:pPr>
              <w:spacing w:line="240" w:lineRule="auto"/>
              <w:rPr>
                <w:rFonts w:ascii="Times New Roman" w:hAnsi="Times New Roman"/>
                <w:color w:val="000000"/>
              </w:rPr>
            </w:pPr>
          </w:p>
          <w:p w14:paraId="6255F09F" w14:textId="77777777" w:rsidR="005715B5" w:rsidRPr="0003605B" w:rsidRDefault="005715B5" w:rsidP="0003605B">
            <w:pPr>
              <w:spacing w:line="240" w:lineRule="auto"/>
              <w:rPr>
                <w:rFonts w:ascii="Times New Roman" w:hAnsi="Times New Roman"/>
                <w:color w:val="000000"/>
                <w:spacing w:val="-2"/>
              </w:rPr>
            </w:pPr>
            <w:r w:rsidRPr="0003605B">
              <w:rPr>
                <w:rFonts w:ascii="Times New Roman" w:hAnsi="Times New Roman"/>
                <w:color w:val="000000"/>
              </w:rPr>
              <w:fldChar w:fldCharType="begin">
                <w:ffData>
                  <w:name w:val="Wybór1"/>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w:t>
            </w:r>
            <w:r w:rsidRPr="0003605B">
              <w:rPr>
                <w:rFonts w:ascii="Times New Roman" w:hAnsi="Times New Roman"/>
                <w:color w:val="000000"/>
                <w:spacing w:val="-2"/>
              </w:rPr>
              <w:t>demografia</w:t>
            </w:r>
          </w:p>
          <w:p w14:paraId="15FD005F"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fldChar w:fldCharType="begin">
                <w:ffData>
                  <w:name w:val=""/>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mienie państwowe</w:t>
            </w:r>
          </w:p>
        </w:tc>
        <w:tc>
          <w:tcPr>
            <w:tcW w:w="3705" w:type="dxa"/>
            <w:gridSpan w:val="8"/>
            <w:shd w:val="clear" w:color="auto" w:fill="FFFFFF"/>
          </w:tcPr>
          <w:p w14:paraId="2603F29D" w14:textId="77777777" w:rsidR="005715B5" w:rsidRPr="0003605B" w:rsidRDefault="005715B5" w:rsidP="0003605B">
            <w:pPr>
              <w:spacing w:line="240" w:lineRule="auto"/>
              <w:rPr>
                <w:rFonts w:ascii="Times New Roman" w:hAnsi="Times New Roman"/>
                <w:color w:val="000000"/>
              </w:rPr>
            </w:pPr>
          </w:p>
          <w:p w14:paraId="007F2A0F" w14:textId="2552A1E1" w:rsidR="005715B5" w:rsidRPr="0003605B" w:rsidRDefault="000914D1" w:rsidP="0003605B">
            <w:pPr>
              <w:spacing w:line="240" w:lineRule="auto"/>
              <w:rPr>
                <w:rFonts w:ascii="Times New Roman" w:hAnsi="Times New Roman"/>
                <w:color w:val="000000"/>
                <w:spacing w:val="-2"/>
              </w:rPr>
            </w:pPr>
            <w:r w:rsidRPr="0003605B">
              <w:rPr>
                <w:rFonts w:ascii="Times New Roman" w:hAnsi="Times New Roman"/>
                <w:color w:val="000000"/>
              </w:rPr>
              <w:fldChar w:fldCharType="begin">
                <w:ffData>
                  <w:name w:val=""/>
                  <w:enabled/>
                  <w:calcOnExit w:val="0"/>
                  <w:checkBox>
                    <w:sizeAuto/>
                    <w:default w:val="1"/>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005715B5" w:rsidRPr="0003605B">
              <w:rPr>
                <w:rFonts w:ascii="Times New Roman" w:hAnsi="Times New Roman"/>
                <w:color w:val="000000"/>
              </w:rPr>
              <w:t xml:space="preserve"> </w:t>
            </w:r>
            <w:r w:rsidR="005715B5" w:rsidRPr="0003605B">
              <w:rPr>
                <w:rFonts w:ascii="Times New Roman" w:hAnsi="Times New Roman"/>
                <w:color w:val="000000"/>
                <w:spacing w:val="-2"/>
              </w:rPr>
              <w:t>informatyzacja</w:t>
            </w:r>
          </w:p>
          <w:p w14:paraId="297D3DB1"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fldChar w:fldCharType="begin">
                <w:ffData>
                  <w:name w:val="Wybór1"/>
                  <w:enabled/>
                  <w:calcOnExit w:val="0"/>
                  <w:checkBox>
                    <w:sizeAuto/>
                    <w:default w:val="0"/>
                  </w:checkBox>
                </w:ffData>
              </w:fldChar>
            </w:r>
            <w:r w:rsidRPr="0003605B">
              <w:rPr>
                <w:rFonts w:ascii="Times New Roman" w:hAnsi="Times New Roman"/>
                <w:color w:val="000000"/>
              </w:rPr>
              <w:instrText xml:space="preserve"> FORMCHECKBOX </w:instrText>
            </w:r>
            <w:r w:rsidR="00E3596B">
              <w:rPr>
                <w:rFonts w:ascii="Times New Roman" w:hAnsi="Times New Roman"/>
                <w:color w:val="000000"/>
              </w:rPr>
            </w:r>
            <w:r w:rsidR="00E3596B">
              <w:rPr>
                <w:rFonts w:ascii="Times New Roman" w:hAnsi="Times New Roman"/>
                <w:color w:val="000000"/>
              </w:rPr>
              <w:fldChar w:fldCharType="separate"/>
            </w:r>
            <w:r w:rsidRPr="0003605B">
              <w:rPr>
                <w:rFonts w:ascii="Times New Roman" w:hAnsi="Times New Roman"/>
                <w:color w:val="000000"/>
              </w:rPr>
              <w:fldChar w:fldCharType="end"/>
            </w:r>
            <w:r w:rsidRPr="0003605B">
              <w:rPr>
                <w:rFonts w:ascii="Times New Roman" w:hAnsi="Times New Roman"/>
                <w:color w:val="000000"/>
              </w:rPr>
              <w:t xml:space="preserve"> </w:t>
            </w:r>
            <w:r w:rsidRPr="0003605B">
              <w:rPr>
                <w:rFonts w:ascii="Times New Roman" w:hAnsi="Times New Roman"/>
                <w:color w:val="000000"/>
                <w:spacing w:val="-2"/>
              </w:rPr>
              <w:t>zdrowie</w:t>
            </w:r>
          </w:p>
        </w:tc>
      </w:tr>
      <w:tr w:rsidR="005715B5" w:rsidRPr="0003605B" w14:paraId="52B15BA4" w14:textId="77777777" w:rsidTr="009C3613">
        <w:trPr>
          <w:gridAfter w:val="2"/>
          <w:wAfter w:w="7237" w:type="dxa"/>
          <w:trHeight w:val="311"/>
        </w:trPr>
        <w:tc>
          <w:tcPr>
            <w:tcW w:w="2242" w:type="dxa"/>
            <w:gridSpan w:val="3"/>
            <w:shd w:val="clear" w:color="auto" w:fill="FFFFFF"/>
            <w:vAlign w:val="center"/>
          </w:tcPr>
          <w:p w14:paraId="5D3784AA" w14:textId="77777777" w:rsidR="005715B5" w:rsidRPr="0003605B" w:rsidRDefault="005715B5" w:rsidP="0003605B">
            <w:pPr>
              <w:spacing w:line="240" w:lineRule="auto"/>
              <w:rPr>
                <w:rFonts w:ascii="Times New Roman" w:hAnsi="Times New Roman"/>
                <w:color w:val="000000"/>
              </w:rPr>
            </w:pPr>
            <w:r w:rsidRPr="0003605B">
              <w:rPr>
                <w:rFonts w:ascii="Times New Roman" w:hAnsi="Times New Roman"/>
                <w:color w:val="000000"/>
              </w:rPr>
              <w:t>Omówienie wpływu</w:t>
            </w:r>
          </w:p>
        </w:tc>
        <w:tc>
          <w:tcPr>
            <w:tcW w:w="8696" w:type="dxa"/>
            <w:gridSpan w:val="26"/>
            <w:shd w:val="clear" w:color="auto" w:fill="FFFFFF"/>
            <w:vAlign w:val="center"/>
          </w:tcPr>
          <w:p w14:paraId="35E95011" w14:textId="612DF7F8" w:rsidR="005715B5" w:rsidRPr="0003605B" w:rsidRDefault="000914D1" w:rsidP="0003605B">
            <w:pPr>
              <w:spacing w:line="240" w:lineRule="auto"/>
              <w:jc w:val="both"/>
              <w:rPr>
                <w:rFonts w:ascii="Times New Roman" w:hAnsi="Times New Roman"/>
                <w:color w:val="000000"/>
                <w:spacing w:val="-2"/>
              </w:rPr>
            </w:pPr>
            <w:r w:rsidRPr="0003605B">
              <w:rPr>
                <w:rFonts w:ascii="Times New Roman" w:hAnsi="Times New Roman"/>
                <w:color w:val="000000"/>
                <w:spacing w:val="-2"/>
              </w:rPr>
              <w:t xml:space="preserve">Projekt zawiera podstawę prawną do doręczania oskarżonym odpisów aktu oskarżenia w postaci elektronicznej, poprzez ich </w:t>
            </w:r>
            <w:r w:rsidRPr="0003605B">
              <w:rPr>
                <w:rFonts w:ascii="Times New Roman" w:hAnsi="Times New Roman"/>
              </w:rPr>
              <w:t>przesłanie</w:t>
            </w:r>
            <w:r w:rsidRPr="0003605B">
              <w:rPr>
                <w:rFonts w:ascii="Times New Roman" w:hAnsi="Times New Roman"/>
                <w:color w:val="000000"/>
                <w:spacing w:val="-2"/>
              </w:rPr>
              <w:t xml:space="preserve"> na adres poczty elektronicznej.</w:t>
            </w:r>
          </w:p>
        </w:tc>
      </w:tr>
      <w:tr w:rsidR="005715B5" w:rsidRPr="0003605B" w14:paraId="47759080" w14:textId="77777777" w:rsidTr="009C3613">
        <w:trPr>
          <w:gridAfter w:val="2"/>
          <w:wAfter w:w="7237" w:type="dxa"/>
          <w:trHeight w:val="142"/>
        </w:trPr>
        <w:tc>
          <w:tcPr>
            <w:tcW w:w="10938" w:type="dxa"/>
            <w:gridSpan w:val="29"/>
            <w:shd w:val="clear" w:color="auto" w:fill="99CCFF"/>
          </w:tcPr>
          <w:p w14:paraId="791576A5" w14:textId="77777777" w:rsidR="005715B5" w:rsidRPr="0003605B" w:rsidRDefault="005715B5" w:rsidP="0003605B">
            <w:pPr>
              <w:numPr>
                <w:ilvl w:val="0"/>
                <w:numId w:val="1"/>
              </w:numPr>
              <w:spacing w:before="60" w:after="60" w:line="240" w:lineRule="auto"/>
              <w:ind w:left="318" w:hanging="284"/>
              <w:jc w:val="both"/>
              <w:rPr>
                <w:rFonts w:ascii="Times New Roman" w:hAnsi="Times New Roman"/>
                <w:b/>
              </w:rPr>
            </w:pPr>
            <w:r w:rsidRPr="0003605B">
              <w:rPr>
                <w:rFonts w:ascii="Times New Roman" w:hAnsi="Times New Roman"/>
                <w:b/>
                <w:spacing w:val="-2"/>
              </w:rPr>
              <w:t>Planowane wykonanie przepisów aktu prawnego</w:t>
            </w:r>
          </w:p>
        </w:tc>
      </w:tr>
      <w:tr w:rsidR="005715B5" w:rsidRPr="0003605B" w14:paraId="0F0C01F3" w14:textId="77777777" w:rsidTr="009C3613">
        <w:trPr>
          <w:gridAfter w:val="2"/>
          <w:wAfter w:w="7237" w:type="dxa"/>
          <w:trHeight w:val="142"/>
        </w:trPr>
        <w:tc>
          <w:tcPr>
            <w:tcW w:w="10938" w:type="dxa"/>
            <w:gridSpan w:val="29"/>
            <w:shd w:val="clear" w:color="auto" w:fill="FFFFFF"/>
          </w:tcPr>
          <w:p w14:paraId="04356262" w14:textId="2CC77C14" w:rsidR="005715B5" w:rsidRPr="0003605B" w:rsidRDefault="009C3613" w:rsidP="0003605B">
            <w:pPr>
              <w:spacing w:line="240" w:lineRule="auto"/>
              <w:jc w:val="both"/>
              <w:rPr>
                <w:rFonts w:ascii="Times New Roman" w:hAnsi="Times New Roman"/>
                <w:spacing w:val="-2"/>
              </w:rPr>
            </w:pPr>
            <w:r w:rsidRPr="0003605B">
              <w:rPr>
                <w:rFonts w:ascii="Times New Roman" w:hAnsi="Times New Roman"/>
                <w:spacing w:val="-2"/>
              </w:rPr>
              <w:t xml:space="preserve">Rozporządzenie wchodzi w życie z dniem 1 </w:t>
            </w:r>
            <w:r w:rsidR="001E01FD" w:rsidRPr="0003605B">
              <w:rPr>
                <w:rFonts w:ascii="Times New Roman" w:hAnsi="Times New Roman"/>
                <w:spacing w:val="-2"/>
              </w:rPr>
              <w:t>grudnia</w:t>
            </w:r>
            <w:r w:rsidRPr="0003605B">
              <w:rPr>
                <w:rFonts w:ascii="Times New Roman" w:hAnsi="Times New Roman"/>
                <w:spacing w:val="-2"/>
              </w:rPr>
              <w:t xml:space="preserve"> 2021 r.</w:t>
            </w:r>
          </w:p>
        </w:tc>
      </w:tr>
      <w:tr w:rsidR="005715B5" w:rsidRPr="0003605B" w14:paraId="35E2E879" w14:textId="77777777" w:rsidTr="009C3613">
        <w:trPr>
          <w:gridAfter w:val="2"/>
          <w:wAfter w:w="7237" w:type="dxa"/>
          <w:trHeight w:val="142"/>
        </w:trPr>
        <w:tc>
          <w:tcPr>
            <w:tcW w:w="10938" w:type="dxa"/>
            <w:gridSpan w:val="29"/>
            <w:shd w:val="clear" w:color="auto" w:fill="99CCFF"/>
          </w:tcPr>
          <w:p w14:paraId="5AB39188" w14:textId="77777777" w:rsidR="005715B5" w:rsidRPr="0003605B" w:rsidRDefault="005715B5" w:rsidP="0003605B">
            <w:pPr>
              <w:numPr>
                <w:ilvl w:val="0"/>
                <w:numId w:val="1"/>
              </w:numPr>
              <w:spacing w:before="60" w:after="60" w:line="240" w:lineRule="auto"/>
              <w:ind w:left="318" w:hanging="284"/>
              <w:jc w:val="both"/>
              <w:rPr>
                <w:rFonts w:ascii="Times New Roman" w:hAnsi="Times New Roman"/>
                <w:b/>
                <w:color w:val="000000"/>
              </w:rPr>
            </w:pPr>
            <w:r w:rsidRPr="0003605B">
              <w:rPr>
                <w:rFonts w:ascii="Times New Roman" w:hAnsi="Times New Roman"/>
                <w:b/>
                <w:color w:val="000000"/>
              </w:rPr>
              <w:t xml:space="preserve"> </w:t>
            </w:r>
            <w:r w:rsidRPr="0003605B">
              <w:rPr>
                <w:rFonts w:ascii="Times New Roman" w:hAnsi="Times New Roman"/>
                <w:b/>
                <w:spacing w:val="-2"/>
              </w:rPr>
              <w:t>W jaki sposób i kiedy nastąpi ewaluacja efektów projektu oraz jakie mierniki zostaną zastosowane?</w:t>
            </w:r>
          </w:p>
        </w:tc>
      </w:tr>
      <w:tr w:rsidR="005715B5" w:rsidRPr="0003605B" w14:paraId="7747A702" w14:textId="77777777" w:rsidTr="009C3613">
        <w:trPr>
          <w:gridAfter w:val="2"/>
          <w:wAfter w:w="7237" w:type="dxa"/>
          <w:trHeight w:val="142"/>
        </w:trPr>
        <w:tc>
          <w:tcPr>
            <w:tcW w:w="10938" w:type="dxa"/>
            <w:gridSpan w:val="29"/>
            <w:shd w:val="clear" w:color="auto" w:fill="FFFFFF"/>
          </w:tcPr>
          <w:p w14:paraId="5CFD2A2B" w14:textId="77777777" w:rsidR="005715B5" w:rsidRPr="0003605B" w:rsidRDefault="005715B5" w:rsidP="0003605B">
            <w:pPr>
              <w:spacing w:line="240" w:lineRule="auto"/>
              <w:jc w:val="both"/>
              <w:rPr>
                <w:rFonts w:ascii="Times New Roman" w:hAnsi="Times New Roman"/>
                <w:color w:val="000000"/>
                <w:spacing w:val="-2"/>
              </w:rPr>
            </w:pPr>
            <w:r w:rsidRPr="0003605B">
              <w:rPr>
                <w:rFonts w:ascii="Times New Roman" w:hAnsi="Times New Roman"/>
                <w:color w:val="000000"/>
                <w:spacing w:val="-2"/>
              </w:rPr>
              <w:t>Efekty wejścia w życie projektu będą natychmiastowe i nie wymagają pomiaru.</w:t>
            </w:r>
          </w:p>
        </w:tc>
      </w:tr>
      <w:tr w:rsidR="005715B5" w:rsidRPr="0003605B" w14:paraId="0D47C951" w14:textId="77777777" w:rsidTr="009C3613">
        <w:trPr>
          <w:gridAfter w:val="2"/>
          <w:wAfter w:w="7237" w:type="dxa"/>
          <w:trHeight w:val="142"/>
        </w:trPr>
        <w:tc>
          <w:tcPr>
            <w:tcW w:w="10938" w:type="dxa"/>
            <w:gridSpan w:val="29"/>
            <w:shd w:val="clear" w:color="auto" w:fill="99CCFF"/>
          </w:tcPr>
          <w:p w14:paraId="12DEED71" w14:textId="77777777" w:rsidR="005715B5" w:rsidRPr="0003605B" w:rsidRDefault="005715B5" w:rsidP="0003605B">
            <w:pPr>
              <w:numPr>
                <w:ilvl w:val="0"/>
                <w:numId w:val="1"/>
              </w:numPr>
              <w:spacing w:before="60" w:after="60" w:line="240" w:lineRule="auto"/>
              <w:ind w:left="318" w:hanging="284"/>
              <w:jc w:val="both"/>
              <w:rPr>
                <w:rFonts w:ascii="Times New Roman" w:hAnsi="Times New Roman"/>
                <w:b/>
                <w:color w:val="000000"/>
                <w:spacing w:val="-2"/>
              </w:rPr>
            </w:pPr>
            <w:r w:rsidRPr="0003605B">
              <w:rPr>
                <w:rFonts w:ascii="Times New Roman" w:hAnsi="Times New Roman"/>
                <w:b/>
                <w:color w:val="000000"/>
                <w:spacing w:val="-2"/>
              </w:rPr>
              <w:t xml:space="preserve">Załączniki </w:t>
            </w:r>
            <w:r w:rsidRPr="0003605B">
              <w:rPr>
                <w:rFonts w:ascii="Times New Roman" w:hAnsi="Times New Roman"/>
                <w:b/>
                <w:spacing w:val="-2"/>
              </w:rPr>
              <w:t>(istotne dokumenty źródłowe, badania, analizy itp.</w:t>
            </w:r>
            <w:r w:rsidRPr="0003605B">
              <w:rPr>
                <w:rFonts w:ascii="Times New Roman" w:hAnsi="Times New Roman"/>
                <w:b/>
                <w:color w:val="000000"/>
                <w:spacing w:val="-2"/>
              </w:rPr>
              <w:t xml:space="preserve">) </w:t>
            </w:r>
          </w:p>
        </w:tc>
      </w:tr>
      <w:tr w:rsidR="005715B5" w:rsidRPr="0003605B" w14:paraId="07EE90C1" w14:textId="77777777" w:rsidTr="009C3613">
        <w:trPr>
          <w:gridAfter w:val="2"/>
          <w:wAfter w:w="7237" w:type="dxa"/>
          <w:trHeight w:val="142"/>
        </w:trPr>
        <w:tc>
          <w:tcPr>
            <w:tcW w:w="10938" w:type="dxa"/>
            <w:gridSpan w:val="29"/>
            <w:shd w:val="clear" w:color="auto" w:fill="FFFFFF"/>
          </w:tcPr>
          <w:p w14:paraId="1602E3EC" w14:textId="77777777" w:rsidR="005715B5" w:rsidRPr="0003605B" w:rsidRDefault="005715B5" w:rsidP="0003605B">
            <w:pPr>
              <w:spacing w:line="240" w:lineRule="auto"/>
              <w:jc w:val="both"/>
              <w:rPr>
                <w:rFonts w:ascii="Times New Roman" w:hAnsi="Times New Roman"/>
                <w:color w:val="000000"/>
                <w:spacing w:val="-2"/>
              </w:rPr>
            </w:pPr>
          </w:p>
        </w:tc>
      </w:tr>
    </w:tbl>
    <w:p w14:paraId="745284CE" w14:textId="77777777" w:rsidR="006F2F2D" w:rsidRPr="0003605B" w:rsidRDefault="006F2F2D" w:rsidP="0003605B">
      <w:pPr>
        <w:spacing w:line="240" w:lineRule="auto"/>
        <w:rPr>
          <w:rFonts w:ascii="Times New Roman" w:hAnsi="Times New Roman"/>
        </w:rPr>
      </w:pPr>
    </w:p>
    <w:sectPr w:rsidR="006F2F2D" w:rsidRPr="0003605B" w:rsidSect="006F2F2D">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75059" w14:textId="77777777" w:rsidR="0068492B" w:rsidRDefault="0068492B" w:rsidP="00790242">
      <w:pPr>
        <w:spacing w:line="240" w:lineRule="auto"/>
      </w:pPr>
      <w:r>
        <w:separator/>
      </w:r>
    </w:p>
  </w:endnote>
  <w:endnote w:type="continuationSeparator" w:id="0">
    <w:p w14:paraId="077C5CD1" w14:textId="77777777" w:rsidR="0068492B" w:rsidRDefault="0068492B" w:rsidP="007902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2DF25" w14:textId="77777777" w:rsidR="0068492B" w:rsidRDefault="0068492B" w:rsidP="00790242">
      <w:pPr>
        <w:spacing w:line="240" w:lineRule="auto"/>
      </w:pPr>
      <w:r>
        <w:separator/>
      </w:r>
    </w:p>
  </w:footnote>
  <w:footnote w:type="continuationSeparator" w:id="0">
    <w:p w14:paraId="3EE646CE" w14:textId="77777777" w:rsidR="0068492B" w:rsidRDefault="0068492B" w:rsidP="00790242">
      <w:pPr>
        <w:spacing w:line="240" w:lineRule="auto"/>
      </w:pPr>
      <w:r>
        <w:continuationSeparator/>
      </w:r>
    </w:p>
  </w:footnote>
  <w:footnote w:id="1">
    <w:p w14:paraId="56B1BFE6" w14:textId="24382F90" w:rsidR="006F2F2D" w:rsidRDefault="006F2F2D">
      <w:pPr>
        <w:pStyle w:val="Tekstprzypisudolnego"/>
      </w:pPr>
      <w:r>
        <w:rPr>
          <w:rStyle w:val="Odwoanieprzypisudolnego"/>
        </w:rPr>
        <w:footnoteRef/>
      </w:r>
      <w:r>
        <w:t xml:space="preserve"> </w:t>
      </w:r>
      <w:r w:rsidRPr="0003605B">
        <w:rPr>
          <w:rFonts w:ascii="Times New Roman" w:hAnsi="Times New Roman"/>
        </w:rPr>
        <w:t>Dz. U. z 2019 r. poz. 55, 912, 1214 i 1802 oraz Dz. U. z 2020 r. poz. 1747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232BB"/>
    <w:multiLevelType w:val="hybridMultilevel"/>
    <w:tmpl w:val="F1D04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6A1B13"/>
    <w:multiLevelType w:val="hybridMultilevel"/>
    <w:tmpl w:val="DDC8F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BC730C"/>
    <w:multiLevelType w:val="hybridMultilevel"/>
    <w:tmpl w:val="B5F63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6E4CB7"/>
    <w:multiLevelType w:val="hybridMultilevel"/>
    <w:tmpl w:val="762879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9EC183B"/>
    <w:multiLevelType w:val="hybridMultilevel"/>
    <w:tmpl w:val="4A9A75A0"/>
    <w:lvl w:ilvl="0" w:tplc="B79095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B360A2E"/>
    <w:multiLevelType w:val="hybridMultilevel"/>
    <w:tmpl w:val="233E67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12D7403"/>
    <w:multiLevelType w:val="hybridMultilevel"/>
    <w:tmpl w:val="42F895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54C178B"/>
    <w:multiLevelType w:val="hybridMultilevel"/>
    <w:tmpl w:val="C310F2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5BD565E"/>
    <w:multiLevelType w:val="hybridMultilevel"/>
    <w:tmpl w:val="3EBC02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22833D8"/>
    <w:multiLevelType w:val="hybridMultilevel"/>
    <w:tmpl w:val="3CF013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4"/>
  </w:num>
  <w:num w:numId="3">
    <w:abstractNumId w:val="0"/>
  </w:num>
  <w:num w:numId="4">
    <w:abstractNumId w:val="9"/>
  </w:num>
  <w:num w:numId="5">
    <w:abstractNumId w:val="5"/>
  </w:num>
  <w:num w:numId="6">
    <w:abstractNumId w:val="2"/>
  </w:num>
  <w:num w:numId="7">
    <w:abstractNumId w:val="7"/>
  </w:num>
  <w:num w:numId="8">
    <w:abstractNumId w:val="1"/>
  </w:num>
  <w:num w:numId="9">
    <w:abstractNumId w:val="8"/>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5B5"/>
    <w:rsid w:val="0002759C"/>
    <w:rsid w:val="000310AF"/>
    <w:rsid w:val="00034C86"/>
    <w:rsid w:val="0003605B"/>
    <w:rsid w:val="00064AB1"/>
    <w:rsid w:val="00083BA3"/>
    <w:rsid w:val="000914D1"/>
    <w:rsid w:val="000C225B"/>
    <w:rsid w:val="000C36C1"/>
    <w:rsid w:val="000C761F"/>
    <w:rsid w:val="001134AE"/>
    <w:rsid w:val="00117122"/>
    <w:rsid w:val="00153804"/>
    <w:rsid w:val="001D7961"/>
    <w:rsid w:val="001E01FD"/>
    <w:rsid w:val="001E58BE"/>
    <w:rsid w:val="002A2626"/>
    <w:rsid w:val="002C17E1"/>
    <w:rsid w:val="002C5547"/>
    <w:rsid w:val="00340B8F"/>
    <w:rsid w:val="003540D5"/>
    <w:rsid w:val="00360339"/>
    <w:rsid w:val="00382D65"/>
    <w:rsid w:val="003945AD"/>
    <w:rsid w:val="003A22B0"/>
    <w:rsid w:val="003A4BD3"/>
    <w:rsid w:val="003D7CBE"/>
    <w:rsid w:val="00453DF6"/>
    <w:rsid w:val="0046500C"/>
    <w:rsid w:val="004858B4"/>
    <w:rsid w:val="004867DB"/>
    <w:rsid w:val="004E0AD0"/>
    <w:rsid w:val="004E126C"/>
    <w:rsid w:val="004E5427"/>
    <w:rsid w:val="00550000"/>
    <w:rsid w:val="00550343"/>
    <w:rsid w:val="00570662"/>
    <w:rsid w:val="005715B5"/>
    <w:rsid w:val="005748D5"/>
    <w:rsid w:val="005F54A6"/>
    <w:rsid w:val="005F6753"/>
    <w:rsid w:val="0062780C"/>
    <w:rsid w:val="0066460B"/>
    <w:rsid w:val="0068492B"/>
    <w:rsid w:val="0068667E"/>
    <w:rsid w:val="00690B70"/>
    <w:rsid w:val="00694ED2"/>
    <w:rsid w:val="006977E3"/>
    <w:rsid w:val="006A100A"/>
    <w:rsid w:val="006C07BE"/>
    <w:rsid w:val="006D686D"/>
    <w:rsid w:val="006F2F2D"/>
    <w:rsid w:val="00742AC9"/>
    <w:rsid w:val="00784FDC"/>
    <w:rsid w:val="007879BB"/>
    <w:rsid w:val="00790242"/>
    <w:rsid w:val="007C4267"/>
    <w:rsid w:val="007D4E90"/>
    <w:rsid w:val="007E07CB"/>
    <w:rsid w:val="007E2260"/>
    <w:rsid w:val="007F0337"/>
    <w:rsid w:val="007F76B2"/>
    <w:rsid w:val="00830FF0"/>
    <w:rsid w:val="00855734"/>
    <w:rsid w:val="00882E9D"/>
    <w:rsid w:val="00883702"/>
    <w:rsid w:val="008902FD"/>
    <w:rsid w:val="008D56C7"/>
    <w:rsid w:val="008F36D9"/>
    <w:rsid w:val="00906CDA"/>
    <w:rsid w:val="0095283C"/>
    <w:rsid w:val="00956E08"/>
    <w:rsid w:val="00962713"/>
    <w:rsid w:val="009C3613"/>
    <w:rsid w:val="009F30DF"/>
    <w:rsid w:val="009F4949"/>
    <w:rsid w:val="009F62E2"/>
    <w:rsid w:val="00A0575A"/>
    <w:rsid w:val="00A11291"/>
    <w:rsid w:val="00A21F60"/>
    <w:rsid w:val="00AB7FC0"/>
    <w:rsid w:val="00AC1AA8"/>
    <w:rsid w:val="00AC57BE"/>
    <w:rsid w:val="00AE5828"/>
    <w:rsid w:val="00B20388"/>
    <w:rsid w:val="00B31525"/>
    <w:rsid w:val="00B354A3"/>
    <w:rsid w:val="00B47142"/>
    <w:rsid w:val="00B95A43"/>
    <w:rsid w:val="00BB6130"/>
    <w:rsid w:val="00BB61F5"/>
    <w:rsid w:val="00BC1FC6"/>
    <w:rsid w:val="00BC7359"/>
    <w:rsid w:val="00C0059B"/>
    <w:rsid w:val="00C23B2F"/>
    <w:rsid w:val="00C342C6"/>
    <w:rsid w:val="00C51103"/>
    <w:rsid w:val="00C51844"/>
    <w:rsid w:val="00C85C84"/>
    <w:rsid w:val="00CD789F"/>
    <w:rsid w:val="00CE637D"/>
    <w:rsid w:val="00D12C66"/>
    <w:rsid w:val="00D30FE0"/>
    <w:rsid w:val="00D65C0B"/>
    <w:rsid w:val="00D73E19"/>
    <w:rsid w:val="00D80B7E"/>
    <w:rsid w:val="00D92117"/>
    <w:rsid w:val="00DF5C46"/>
    <w:rsid w:val="00E23CDC"/>
    <w:rsid w:val="00E3596B"/>
    <w:rsid w:val="00E4189F"/>
    <w:rsid w:val="00E7763E"/>
    <w:rsid w:val="00E83AE0"/>
    <w:rsid w:val="00E94F57"/>
    <w:rsid w:val="00EA2080"/>
    <w:rsid w:val="00EB0366"/>
    <w:rsid w:val="00EC07E3"/>
    <w:rsid w:val="00EE2638"/>
    <w:rsid w:val="00F02CD8"/>
    <w:rsid w:val="00F13EFE"/>
    <w:rsid w:val="00F30675"/>
    <w:rsid w:val="00F71CC0"/>
    <w:rsid w:val="00F72E47"/>
    <w:rsid w:val="00F919F1"/>
    <w:rsid w:val="00F93B09"/>
    <w:rsid w:val="00FB24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F2500"/>
  <w15:docId w15:val="{43A33202-7729-476C-AA1F-CDAE580D4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15B5"/>
    <w:pPr>
      <w:spacing w:after="0"/>
    </w:pPr>
    <w:rPr>
      <w:rFonts w:ascii="Calibri" w:eastAsia="Calibri" w:hAnsi="Calibri" w:cs="Times New Roman"/>
    </w:rPr>
  </w:style>
  <w:style w:type="paragraph" w:styleId="Nagwek1">
    <w:name w:val="heading 1"/>
    <w:basedOn w:val="Normalny"/>
    <w:next w:val="Normalny"/>
    <w:link w:val="Nagwek1Znak"/>
    <w:qFormat/>
    <w:rsid w:val="005715B5"/>
    <w:pPr>
      <w:keepNext/>
      <w:spacing w:before="240" w:after="60" w:line="240" w:lineRule="auto"/>
      <w:outlineLvl w:val="0"/>
    </w:pPr>
    <w:rPr>
      <w:rFonts w:ascii="Arial" w:eastAsia="Times New Roman"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715B5"/>
    <w:rPr>
      <w:rFonts w:ascii="Arial" w:eastAsia="Times New Roman" w:hAnsi="Arial" w:cs="Arial"/>
      <w:b/>
      <w:bCs/>
      <w:kern w:val="32"/>
      <w:sz w:val="32"/>
      <w:szCs w:val="32"/>
      <w:lang w:eastAsia="pl-PL"/>
    </w:rPr>
  </w:style>
  <w:style w:type="paragraph" w:customStyle="1" w:styleId="NIEARTTEKSTtekstnieartykuowanynppodstprawnarozplubpreambua">
    <w:name w:val="NIEART_TEKST – tekst nieartykułowany (np. podst. prawna rozp. lub preambuła)"/>
    <w:basedOn w:val="Normalny"/>
    <w:next w:val="Normalny"/>
    <w:uiPriority w:val="7"/>
    <w:qFormat/>
    <w:rsid w:val="005715B5"/>
    <w:pPr>
      <w:suppressAutoHyphens/>
      <w:autoSpaceDE w:val="0"/>
      <w:autoSpaceDN w:val="0"/>
      <w:adjustRightInd w:val="0"/>
      <w:spacing w:before="120" w:line="360" w:lineRule="auto"/>
      <w:ind w:firstLine="510"/>
      <w:jc w:val="both"/>
    </w:pPr>
    <w:rPr>
      <w:rFonts w:ascii="Times" w:eastAsia="Times New Roman" w:hAnsi="Times" w:cs="Arial"/>
      <w:bCs/>
      <w:sz w:val="24"/>
      <w:szCs w:val="20"/>
      <w:lang w:eastAsia="pl-PL"/>
    </w:rPr>
  </w:style>
  <w:style w:type="character" w:customStyle="1" w:styleId="FontStyle37">
    <w:name w:val="Font Style37"/>
    <w:uiPriority w:val="99"/>
    <w:rsid w:val="005715B5"/>
    <w:rPr>
      <w:rFonts w:ascii="Times New Roman" w:hAnsi="Times New Roman" w:cs="Times New Roman"/>
      <w:sz w:val="22"/>
      <w:szCs w:val="22"/>
    </w:rPr>
  </w:style>
  <w:style w:type="paragraph" w:customStyle="1" w:styleId="Default">
    <w:name w:val="Default"/>
    <w:rsid w:val="005715B5"/>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Style3">
    <w:name w:val="Style3"/>
    <w:basedOn w:val="Normalny"/>
    <w:uiPriority w:val="99"/>
    <w:rsid w:val="005715B5"/>
    <w:pPr>
      <w:widowControl w:val="0"/>
      <w:autoSpaceDE w:val="0"/>
      <w:autoSpaceDN w:val="0"/>
      <w:adjustRightInd w:val="0"/>
      <w:spacing w:line="394" w:lineRule="exact"/>
      <w:ind w:firstLine="720"/>
      <w:jc w:val="both"/>
    </w:pPr>
    <w:rPr>
      <w:rFonts w:ascii="Times New Roman" w:eastAsia="Times New Roman" w:hAnsi="Times New Roman"/>
      <w:sz w:val="24"/>
      <w:szCs w:val="24"/>
      <w:lang w:eastAsia="pl-PL"/>
    </w:rPr>
  </w:style>
  <w:style w:type="paragraph" w:customStyle="1" w:styleId="ARTartustawynprozporzdzenia">
    <w:name w:val="ART(§) – art. ustawy (§ np. rozporządzenia)"/>
    <w:uiPriority w:val="11"/>
    <w:qFormat/>
    <w:rsid w:val="005715B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styleId="Tekstprzypisudolnego">
    <w:name w:val="footnote text"/>
    <w:basedOn w:val="Normalny"/>
    <w:link w:val="TekstprzypisudolnegoZnak"/>
    <w:uiPriority w:val="99"/>
    <w:semiHidden/>
    <w:unhideWhenUsed/>
    <w:rsid w:val="0079024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90242"/>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790242"/>
    <w:rPr>
      <w:vertAlign w:val="superscript"/>
    </w:rPr>
  </w:style>
  <w:style w:type="character" w:styleId="Odwoaniedokomentarza">
    <w:name w:val="annotation reference"/>
    <w:basedOn w:val="Domylnaczcionkaakapitu"/>
    <w:uiPriority w:val="99"/>
    <w:semiHidden/>
    <w:unhideWhenUsed/>
    <w:rsid w:val="00382D65"/>
    <w:rPr>
      <w:sz w:val="16"/>
      <w:szCs w:val="16"/>
    </w:rPr>
  </w:style>
  <w:style w:type="paragraph" w:styleId="Tekstkomentarza">
    <w:name w:val="annotation text"/>
    <w:basedOn w:val="Normalny"/>
    <w:link w:val="TekstkomentarzaZnak"/>
    <w:uiPriority w:val="99"/>
    <w:semiHidden/>
    <w:unhideWhenUsed/>
    <w:rsid w:val="00382D6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82D6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82D65"/>
    <w:rPr>
      <w:b/>
      <w:bCs/>
    </w:rPr>
  </w:style>
  <w:style w:type="character" w:customStyle="1" w:styleId="TematkomentarzaZnak">
    <w:name w:val="Temat komentarza Znak"/>
    <w:basedOn w:val="TekstkomentarzaZnak"/>
    <w:link w:val="Tematkomentarza"/>
    <w:uiPriority w:val="99"/>
    <w:semiHidden/>
    <w:rsid w:val="00382D6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382D6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82D65"/>
    <w:rPr>
      <w:rFonts w:ascii="Segoe UI" w:eastAsia="Calibri" w:hAnsi="Segoe UI" w:cs="Segoe UI"/>
      <w:sz w:val="18"/>
      <w:szCs w:val="18"/>
    </w:rPr>
  </w:style>
  <w:style w:type="paragraph" w:customStyle="1" w:styleId="TYTUAKTUprzedmiotregulacjiustawylubrozporzdzenia">
    <w:name w:val="TYTUŁ_AKTU – przedmiot regulacji ustawy lub rozporządzenia"/>
    <w:next w:val="ARTartustawynprozporzdzenia"/>
    <w:uiPriority w:val="6"/>
    <w:qFormat/>
    <w:rsid w:val="007E2260"/>
    <w:pPr>
      <w:keepNext/>
      <w:suppressAutoHyphens/>
      <w:spacing w:before="120" w:after="360" w:line="360" w:lineRule="auto"/>
      <w:jc w:val="center"/>
    </w:pPr>
    <w:rPr>
      <w:rFonts w:ascii="Times" w:eastAsiaTheme="minorEastAsia" w:hAnsi="Times" w:cs="Arial"/>
      <w:b/>
      <w:bCs/>
      <w:sz w:val="24"/>
      <w:szCs w:val="24"/>
      <w:lang w:eastAsia="pl-PL"/>
    </w:rPr>
  </w:style>
  <w:style w:type="paragraph" w:styleId="Akapitzlist">
    <w:name w:val="List Paragraph"/>
    <w:basedOn w:val="Normalny"/>
    <w:uiPriority w:val="34"/>
    <w:qFormat/>
    <w:rsid w:val="00F02CD8"/>
    <w:pPr>
      <w:spacing w:after="200"/>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88868">
      <w:bodyDiv w:val="1"/>
      <w:marLeft w:val="0"/>
      <w:marRight w:val="0"/>
      <w:marTop w:val="0"/>
      <w:marBottom w:val="0"/>
      <w:divBdr>
        <w:top w:val="none" w:sz="0" w:space="0" w:color="auto"/>
        <w:left w:val="none" w:sz="0" w:space="0" w:color="auto"/>
        <w:bottom w:val="none" w:sz="0" w:space="0" w:color="auto"/>
        <w:right w:val="none" w:sz="0" w:space="0" w:color="auto"/>
      </w:divBdr>
    </w:div>
    <w:div w:id="199242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1AC02-3CFA-424B-A5A9-26FB29D85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3990</Words>
  <Characters>23946</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MS</Company>
  <LinksUpToDate>false</LinksUpToDate>
  <CharactersWithSpaces>27881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Klamczyńska Alicja  (DL)</dc:creator>
  <cp:lastModifiedBy>Wołowski Przemysław  (DLPC)</cp:lastModifiedBy>
  <cp:revision>2</cp:revision>
  <dcterms:created xsi:type="dcterms:W3CDTF">2021-10-28T07:12:00Z</dcterms:created>
  <dcterms:modified xsi:type="dcterms:W3CDTF">2021-10-28T07:12:00Z</dcterms:modified>
</cp:coreProperties>
</file>